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10" w:rsidRPr="00A947BA" w:rsidRDefault="00E76510" w:rsidP="00E76510">
      <w:pPr>
        <w:spacing w:line="360" w:lineRule="auto"/>
        <w:rPr>
          <w:rFonts w:ascii="David" w:hAnsi="David" w:cs="David"/>
          <w:b/>
          <w:bCs/>
          <w:sz w:val="25"/>
          <w:szCs w:val="25"/>
          <w:u w:val="single"/>
          <w:rtl/>
        </w:rPr>
      </w:pPr>
      <w:r>
        <w:rPr>
          <w:rFonts w:ascii="David" w:hAnsi="David" w:cs="David" w:hint="cs"/>
          <w:b/>
          <w:bCs/>
          <w:sz w:val="25"/>
          <w:szCs w:val="25"/>
          <w:u w:val="single"/>
          <w:rtl/>
        </w:rPr>
        <w:t>סוגיות ב</w:t>
      </w:r>
      <w:r w:rsidR="00A947BA" w:rsidRPr="00A947BA">
        <w:rPr>
          <w:rFonts w:ascii="David" w:hAnsi="David" w:cs="David" w:hint="cs"/>
          <w:b/>
          <w:bCs/>
          <w:sz w:val="25"/>
          <w:szCs w:val="25"/>
          <w:u w:val="single"/>
          <w:rtl/>
        </w:rPr>
        <w:t>התיישנות חובות ארנונה ומיסי חובה:</w:t>
      </w:r>
    </w:p>
    <w:p w:rsidR="003D4503" w:rsidRDefault="00A947BA" w:rsidP="00E76510">
      <w:pPr>
        <w:spacing w:line="360" w:lineRule="auto"/>
        <w:jc w:val="both"/>
        <w:rPr>
          <w:rFonts w:ascii="David" w:hAnsi="David" w:cs="David"/>
          <w:sz w:val="25"/>
          <w:szCs w:val="25"/>
          <w:rtl/>
        </w:rPr>
      </w:pPr>
      <w:r w:rsidRPr="00A947BA">
        <w:rPr>
          <w:rFonts w:ascii="David" w:hAnsi="David" w:cs="David"/>
          <w:sz w:val="25"/>
          <w:szCs w:val="25"/>
          <w:rtl/>
        </w:rPr>
        <w:t>שני פסקי הדין המרכזי</w:t>
      </w:r>
      <w:r w:rsidR="003D4503">
        <w:rPr>
          <w:rFonts w:ascii="David" w:hAnsi="David" w:cs="David"/>
          <w:sz w:val="25"/>
          <w:szCs w:val="25"/>
          <w:rtl/>
        </w:rPr>
        <w:t>ים בעניין</w:t>
      </w:r>
      <w:r w:rsidR="003D4503">
        <w:rPr>
          <w:rFonts w:ascii="David" w:hAnsi="David" w:cs="David" w:hint="cs"/>
          <w:sz w:val="25"/>
          <w:szCs w:val="25"/>
          <w:rtl/>
        </w:rPr>
        <w:t xml:space="preserve"> </w:t>
      </w:r>
      <w:r w:rsidRPr="00A947BA">
        <w:rPr>
          <w:rFonts w:ascii="David" w:hAnsi="David" w:cs="David"/>
          <w:sz w:val="25"/>
          <w:szCs w:val="25"/>
          <w:rtl/>
        </w:rPr>
        <w:t xml:space="preserve">הינם </w:t>
      </w:r>
      <w:r w:rsidR="003D4503">
        <w:rPr>
          <w:rFonts w:ascii="David" w:hAnsi="David" w:cs="David"/>
          <w:sz w:val="25"/>
          <w:szCs w:val="25"/>
          <w:rtl/>
        </w:rPr>
        <w:t>–</w:t>
      </w:r>
      <w:r w:rsidR="003D4503">
        <w:rPr>
          <w:rFonts w:ascii="David" w:hAnsi="David" w:cs="David" w:hint="cs"/>
          <w:sz w:val="25"/>
          <w:szCs w:val="25"/>
          <w:rtl/>
        </w:rPr>
        <w:t xml:space="preserve"> </w:t>
      </w:r>
    </w:p>
    <w:p w:rsidR="00A947BA" w:rsidRPr="00A947BA" w:rsidRDefault="00A947BA" w:rsidP="00E76510">
      <w:pPr>
        <w:spacing w:line="360" w:lineRule="auto"/>
        <w:jc w:val="both"/>
        <w:rPr>
          <w:rFonts w:ascii="David" w:hAnsi="David" w:cs="David"/>
          <w:sz w:val="25"/>
          <w:szCs w:val="25"/>
          <w:rtl/>
        </w:rPr>
      </w:pPr>
      <w:r w:rsidRPr="00A947BA">
        <w:rPr>
          <w:rFonts w:ascii="David" w:hAnsi="David" w:cs="David"/>
          <w:sz w:val="25"/>
          <w:szCs w:val="25"/>
          <w:rtl/>
        </w:rPr>
        <w:t xml:space="preserve">פס"ד </w:t>
      </w:r>
      <w:r w:rsidRPr="00A947BA">
        <w:rPr>
          <w:rFonts w:ascii="David" w:hAnsi="David" w:cs="David"/>
          <w:color w:val="000000"/>
          <w:spacing w:val="10"/>
          <w:sz w:val="25"/>
          <w:szCs w:val="25"/>
          <w:rtl/>
        </w:rPr>
        <w:t>רע"א 187/05</w:t>
      </w:r>
      <w:r w:rsidRPr="00A947BA">
        <w:rPr>
          <w:rStyle w:val="apple-converted-space"/>
          <w:rFonts w:ascii="David" w:hAnsi="David" w:cs="David"/>
          <w:color w:val="000000"/>
          <w:spacing w:val="10"/>
          <w:sz w:val="25"/>
          <w:szCs w:val="25"/>
          <w:rtl/>
        </w:rPr>
        <w:t> </w:t>
      </w:r>
      <w:r w:rsidRPr="003D4503">
        <w:rPr>
          <w:rFonts w:ascii="David" w:hAnsi="David" w:cs="David"/>
          <w:b/>
          <w:bCs/>
          <w:color w:val="000000"/>
          <w:spacing w:val="10"/>
          <w:sz w:val="25"/>
          <w:szCs w:val="25"/>
          <w:rtl/>
        </w:rPr>
        <w:t>נעמה נסייר נ' עיריית נצרת עילית</w:t>
      </w:r>
      <w:r w:rsidRPr="00A947BA">
        <w:rPr>
          <w:rFonts w:ascii="David" w:hAnsi="David" w:cs="David"/>
          <w:sz w:val="25"/>
          <w:szCs w:val="25"/>
          <w:rtl/>
        </w:rPr>
        <w:t xml:space="preserve"> </w:t>
      </w:r>
      <w:r w:rsidR="003D4503">
        <w:rPr>
          <w:rFonts w:ascii="David" w:hAnsi="David" w:cs="David" w:hint="cs"/>
          <w:sz w:val="25"/>
          <w:szCs w:val="25"/>
          <w:rtl/>
        </w:rPr>
        <w:t xml:space="preserve">(להלן: </w:t>
      </w:r>
      <w:r w:rsidR="003D4503" w:rsidRPr="003D4503">
        <w:rPr>
          <w:rFonts w:ascii="David" w:hAnsi="David" w:cs="David" w:hint="cs"/>
          <w:b/>
          <w:bCs/>
          <w:sz w:val="25"/>
          <w:szCs w:val="25"/>
          <w:rtl/>
        </w:rPr>
        <w:t>"הלכת נסייר"</w:t>
      </w:r>
      <w:r w:rsidR="003D4503" w:rsidRPr="003D4503">
        <w:rPr>
          <w:rFonts w:ascii="David" w:hAnsi="David" w:cs="David" w:hint="cs"/>
          <w:sz w:val="25"/>
          <w:szCs w:val="25"/>
          <w:rtl/>
        </w:rPr>
        <w:t>)</w:t>
      </w:r>
      <w:r w:rsidR="003D4503">
        <w:rPr>
          <w:rFonts w:ascii="David" w:hAnsi="David" w:cs="David" w:hint="cs"/>
          <w:sz w:val="25"/>
          <w:szCs w:val="25"/>
          <w:rtl/>
        </w:rPr>
        <w:t xml:space="preserve"> </w:t>
      </w:r>
      <w:r w:rsidRPr="00A947BA">
        <w:rPr>
          <w:rFonts w:ascii="David" w:hAnsi="David" w:cs="David"/>
          <w:sz w:val="25"/>
          <w:szCs w:val="25"/>
          <w:rtl/>
        </w:rPr>
        <w:t xml:space="preserve">שקבע כי </w:t>
      </w:r>
      <w:r w:rsidRPr="00A947BA">
        <w:rPr>
          <w:rFonts w:ascii="David" w:hAnsi="David" w:cs="David"/>
          <w:color w:val="000000"/>
          <w:spacing w:val="10"/>
          <w:sz w:val="25"/>
          <w:szCs w:val="25"/>
          <w:rtl/>
        </w:rPr>
        <w:t>דיני ההתיישנות חולשים על "הליכי גבייה אקטיביים</w:t>
      </w:r>
      <w:r w:rsidRPr="00A947BA">
        <w:rPr>
          <w:rFonts w:ascii="David" w:hAnsi="David" w:cs="David"/>
          <w:color w:val="000000"/>
          <w:spacing w:val="10"/>
          <w:sz w:val="25"/>
          <w:szCs w:val="25"/>
        </w:rPr>
        <w:t>"</w:t>
      </w:r>
      <w:r>
        <w:rPr>
          <w:rFonts w:ascii="David" w:hAnsi="David" w:cs="David" w:hint="cs"/>
          <w:sz w:val="25"/>
          <w:szCs w:val="25"/>
          <w:rtl/>
        </w:rPr>
        <w:t xml:space="preserve"> דהיינו הליכים המבוצעים נגד הח</w:t>
      </w:r>
      <w:r w:rsidR="003D4503">
        <w:rPr>
          <w:rFonts w:ascii="David" w:hAnsi="David" w:cs="David" w:hint="cs"/>
          <w:sz w:val="25"/>
          <w:szCs w:val="25"/>
          <w:rtl/>
        </w:rPr>
        <w:t>ייב מכוח פקודת המיסים גביה לרבות עיקול בנק</w:t>
      </w:r>
      <w:r>
        <w:rPr>
          <w:rFonts w:ascii="David" w:hAnsi="David" w:cs="David" w:hint="cs"/>
          <w:sz w:val="25"/>
          <w:szCs w:val="25"/>
          <w:rtl/>
        </w:rPr>
        <w:t xml:space="preserve">, </w:t>
      </w:r>
      <w:r w:rsidR="003D4503">
        <w:rPr>
          <w:rFonts w:ascii="David" w:hAnsi="David" w:cs="David" w:hint="cs"/>
          <w:sz w:val="25"/>
          <w:szCs w:val="25"/>
          <w:rtl/>
        </w:rPr>
        <w:t xml:space="preserve">עיקול </w:t>
      </w:r>
      <w:r>
        <w:rPr>
          <w:rFonts w:ascii="David" w:hAnsi="David" w:cs="David" w:hint="cs"/>
          <w:sz w:val="25"/>
          <w:szCs w:val="25"/>
          <w:rtl/>
        </w:rPr>
        <w:t xml:space="preserve">על הנכס, עיקול מיטלטלין ותפיסתם </w:t>
      </w:r>
      <w:proofErr w:type="spellStart"/>
      <w:r>
        <w:rPr>
          <w:rFonts w:ascii="David" w:hAnsi="David" w:cs="David" w:hint="cs"/>
          <w:sz w:val="25"/>
          <w:szCs w:val="25"/>
          <w:rtl/>
        </w:rPr>
        <w:t>וכיוצב</w:t>
      </w:r>
      <w:proofErr w:type="spellEnd"/>
      <w:r>
        <w:rPr>
          <w:rFonts w:ascii="David" w:hAnsi="David" w:cs="David" w:hint="cs"/>
          <w:sz w:val="25"/>
          <w:szCs w:val="25"/>
          <w:rtl/>
        </w:rPr>
        <w:t>'...</w:t>
      </w:r>
    </w:p>
    <w:p w:rsidR="003D4503" w:rsidRDefault="00A947BA" w:rsidP="00C15748">
      <w:pPr>
        <w:spacing w:line="360" w:lineRule="auto"/>
        <w:jc w:val="both"/>
        <w:rPr>
          <w:rFonts w:ascii="David" w:hAnsi="David" w:cs="David"/>
          <w:color w:val="000000"/>
          <w:spacing w:val="10"/>
          <w:sz w:val="25"/>
          <w:szCs w:val="25"/>
          <w:rtl/>
        </w:rPr>
      </w:pPr>
      <w:proofErr w:type="spellStart"/>
      <w:r w:rsidRPr="003D4503">
        <w:rPr>
          <w:rFonts w:ascii="David" w:hAnsi="David" w:cs="David"/>
          <w:sz w:val="25"/>
          <w:szCs w:val="25"/>
          <w:rtl/>
        </w:rPr>
        <w:t>בעע"מ</w:t>
      </w:r>
      <w:proofErr w:type="spellEnd"/>
      <w:r w:rsidRPr="003D4503">
        <w:rPr>
          <w:rFonts w:ascii="David" w:hAnsi="David" w:cs="David"/>
          <w:sz w:val="25"/>
          <w:szCs w:val="25"/>
          <w:rtl/>
        </w:rPr>
        <w:t xml:space="preserve"> 8832/12 </w:t>
      </w:r>
      <w:r w:rsidRPr="003D4503">
        <w:rPr>
          <w:rFonts w:ascii="David" w:hAnsi="David" w:cs="David"/>
          <w:b/>
          <w:bCs/>
          <w:sz w:val="25"/>
          <w:szCs w:val="25"/>
          <w:rtl/>
        </w:rPr>
        <w:t>עיריית חיפה נ' יצחק סלומון בע"מ ואחרים</w:t>
      </w:r>
      <w:r w:rsidR="003D4503">
        <w:rPr>
          <w:rFonts w:ascii="David" w:hAnsi="David" w:cs="David" w:hint="cs"/>
          <w:b/>
          <w:bCs/>
          <w:sz w:val="25"/>
          <w:szCs w:val="25"/>
          <w:rtl/>
        </w:rPr>
        <w:t xml:space="preserve"> </w:t>
      </w:r>
      <w:r w:rsidR="003D4503" w:rsidRPr="003D4503">
        <w:rPr>
          <w:rFonts w:ascii="David" w:hAnsi="David" w:cs="David" w:hint="cs"/>
          <w:sz w:val="25"/>
          <w:szCs w:val="25"/>
          <w:rtl/>
        </w:rPr>
        <w:t xml:space="preserve">(להלן: </w:t>
      </w:r>
      <w:r w:rsidR="003D4503">
        <w:rPr>
          <w:rFonts w:ascii="David" w:hAnsi="David" w:cs="David" w:hint="cs"/>
          <w:b/>
          <w:bCs/>
          <w:sz w:val="25"/>
          <w:szCs w:val="25"/>
          <w:rtl/>
        </w:rPr>
        <w:t>"פס"ד חיפה"</w:t>
      </w:r>
      <w:r w:rsidR="003D4503" w:rsidRPr="003D4503">
        <w:rPr>
          <w:rFonts w:ascii="David" w:hAnsi="David" w:cs="David" w:hint="cs"/>
          <w:sz w:val="25"/>
          <w:szCs w:val="25"/>
          <w:rtl/>
        </w:rPr>
        <w:t>)</w:t>
      </w:r>
      <w:r w:rsidRPr="003D4503">
        <w:rPr>
          <w:rFonts w:ascii="David" w:hAnsi="David" w:cs="David"/>
          <w:b/>
          <w:bCs/>
          <w:sz w:val="25"/>
          <w:szCs w:val="25"/>
          <w:rtl/>
        </w:rPr>
        <w:t xml:space="preserve">, </w:t>
      </w:r>
      <w:r w:rsidR="003D4503" w:rsidRPr="003D4503">
        <w:rPr>
          <w:rFonts w:ascii="David" w:hAnsi="David" w:cs="David"/>
          <w:sz w:val="25"/>
          <w:szCs w:val="25"/>
          <w:rtl/>
        </w:rPr>
        <w:t xml:space="preserve">נדונה </w:t>
      </w:r>
      <w:r w:rsidRPr="003D4503">
        <w:rPr>
          <w:rFonts w:ascii="David" w:hAnsi="David" w:cs="David"/>
          <w:sz w:val="25"/>
          <w:szCs w:val="25"/>
          <w:rtl/>
        </w:rPr>
        <w:t xml:space="preserve">השאלה האם </w:t>
      </w:r>
      <w:r w:rsidRPr="003D4503">
        <w:rPr>
          <w:rFonts w:ascii="David" w:hAnsi="David" w:cs="David"/>
          <w:color w:val="000000"/>
          <w:spacing w:val="10"/>
          <w:sz w:val="25"/>
          <w:szCs w:val="25"/>
          <w:rtl/>
        </w:rPr>
        <w:t>יש להחיל את דיני ההתיישנות אף על ההליכים המכונים "הליכי גבייה פסיביים</w:t>
      </w:r>
      <w:r w:rsidRPr="003D4503">
        <w:rPr>
          <w:rFonts w:ascii="David" w:hAnsi="David" w:cs="David"/>
          <w:color w:val="000000"/>
          <w:spacing w:val="10"/>
          <w:sz w:val="25"/>
          <w:szCs w:val="25"/>
        </w:rPr>
        <w:t>"</w:t>
      </w:r>
      <w:r w:rsidR="003D4503" w:rsidRPr="003D4503">
        <w:rPr>
          <w:rFonts w:ascii="David" w:hAnsi="David" w:cs="David"/>
          <w:b/>
          <w:bCs/>
          <w:sz w:val="25"/>
          <w:szCs w:val="25"/>
          <w:rtl/>
        </w:rPr>
        <w:t xml:space="preserve"> </w:t>
      </w:r>
      <w:r w:rsidR="003D4503" w:rsidRPr="003D4503">
        <w:rPr>
          <w:rFonts w:ascii="David" w:hAnsi="David" w:cs="David"/>
          <w:color w:val="000000"/>
          <w:spacing w:val="10"/>
          <w:sz w:val="25"/>
          <w:szCs w:val="25"/>
          <w:rtl/>
        </w:rPr>
        <w:t>כדוגמת סעיף 324(א) לפקודת העיריות המאפשר לעירייה שלא</w:t>
      </w:r>
      <w:r w:rsidR="003D4503">
        <w:rPr>
          <w:rFonts w:ascii="David" w:hAnsi="David" w:cs="David"/>
          <w:color w:val="000000"/>
          <w:spacing w:val="10"/>
          <w:sz w:val="25"/>
          <w:szCs w:val="25"/>
          <w:rtl/>
        </w:rPr>
        <w:t xml:space="preserve"> ל</w:t>
      </w:r>
      <w:r w:rsidR="003D4503" w:rsidRPr="003D4503">
        <w:rPr>
          <w:rFonts w:ascii="David" w:hAnsi="David" w:cs="David"/>
          <w:color w:val="000000"/>
          <w:spacing w:val="10"/>
          <w:sz w:val="25"/>
          <w:szCs w:val="25"/>
          <w:rtl/>
        </w:rPr>
        <w:t xml:space="preserve">תן </w:t>
      </w:r>
      <w:r w:rsidR="003D4503">
        <w:rPr>
          <w:rFonts w:ascii="David" w:hAnsi="David" w:cs="David" w:hint="cs"/>
          <w:color w:val="000000"/>
          <w:spacing w:val="10"/>
          <w:sz w:val="25"/>
          <w:szCs w:val="25"/>
          <w:rtl/>
        </w:rPr>
        <w:t xml:space="preserve">לחייב </w:t>
      </w:r>
      <w:r w:rsidR="003D4503" w:rsidRPr="003D4503">
        <w:rPr>
          <w:rFonts w:ascii="David" w:hAnsi="David" w:cs="David"/>
          <w:color w:val="000000"/>
          <w:spacing w:val="10"/>
          <w:sz w:val="25"/>
          <w:szCs w:val="25"/>
          <w:rtl/>
        </w:rPr>
        <w:t>אישור לרישום עסקה להעברת זכויות במקרקעין ככל ולחייב קיים חוב</w:t>
      </w:r>
      <w:r w:rsidR="003D4503">
        <w:rPr>
          <w:rFonts w:ascii="David" w:hAnsi="David" w:cs="David" w:hint="cs"/>
          <w:color w:val="000000"/>
          <w:spacing w:val="10"/>
          <w:sz w:val="25"/>
          <w:szCs w:val="25"/>
          <w:rtl/>
        </w:rPr>
        <w:t xml:space="preserve"> ובכך למעשה לאכוף את החוב על דרך הליך אכיפה פסיבי</w:t>
      </w:r>
      <w:r w:rsidR="003D4503" w:rsidRPr="003D4503">
        <w:rPr>
          <w:rFonts w:ascii="David" w:hAnsi="David" w:cs="David"/>
          <w:color w:val="000000"/>
          <w:spacing w:val="10"/>
          <w:sz w:val="25"/>
          <w:szCs w:val="25"/>
          <w:rtl/>
        </w:rPr>
        <w:t>.</w:t>
      </w:r>
      <w:r w:rsidR="003D4503">
        <w:rPr>
          <w:rFonts w:ascii="David" w:hAnsi="David" w:cs="David" w:hint="cs"/>
          <w:color w:val="000000"/>
          <w:spacing w:val="10"/>
          <w:sz w:val="25"/>
          <w:szCs w:val="25"/>
          <w:rtl/>
        </w:rPr>
        <w:t xml:space="preserve"> פס"ד זה קבע כי הלכת נסייר תחול גם על הליכי גבייה פסיביים, משמע דיני ההתיישנות חולשים גם על הליכים פסיביים וגם על אקטיביים.</w:t>
      </w:r>
    </w:p>
    <w:p w:rsidR="003D4503" w:rsidRDefault="003D4503" w:rsidP="00E76510">
      <w:pPr>
        <w:spacing w:line="360" w:lineRule="auto"/>
        <w:jc w:val="both"/>
        <w:rPr>
          <w:rFonts w:ascii="David" w:hAnsi="David" w:cs="David"/>
          <w:color w:val="000000"/>
          <w:spacing w:val="10"/>
          <w:sz w:val="25"/>
          <w:szCs w:val="25"/>
          <w:rtl/>
        </w:rPr>
      </w:pPr>
    </w:p>
    <w:p w:rsidR="00E76510" w:rsidRDefault="003D4503" w:rsidP="00E76510">
      <w:pPr>
        <w:spacing w:line="360" w:lineRule="auto"/>
        <w:jc w:val="both"/>
        <w:rPr>
          <w:rFonts w:ascii="David" w:hAnsi="David" w:cs="David"/>
          <w:b/>
          <w:bCs/>
          <w:color w:val="000000"/>
          <w:spacing w:val="10"/>
          <w:sz w:val="25"/>
          <w:szCs w:val="25"/>
          <w:u w:val="single"/>
          <w:rtl/>
        </w:rPr>
      </w:pPr>
      <w:r>
        <w:rPr>
          <w:rFonts w:ascii="David" w:hAnsi="David" w:cs="David" w:hint="cs"/>
          <w:color w:val="000000"/>
          <w:spacing w:val="10"/>
          <w:sz w:val="25"/>
          <w:szCs w:val="25"/>
          <w:rtl/>
        </w:rPr>
        <w:t>שאלה חשובה לא פחות, אשר הועל</w:t>
      </w:r>
      <w:r w:rsidR="001C7278">
        <w:rPr>
          <w:rFonts w:ascii="David" w:hAnsi="David" w:cs="David" w:hint="cs"/>
          <w:color w:val="000000"/>
          <w:spacing w:val="10"/>
          <w:sz w:val="25"/>
          <w:szCs w:val="25"/>
          <w:rtl/>
        </w:rPr>
        <w:t>ת</w:t>
      </w:r>
      <w:r>
        <w:rPr>
          <w:rFonts w:ascii="David" w:hAnsi="David" w:cs="David" w:hint="cs"/>
          <w:color w:val="000000"/>
          <w:spacing w:val="10"/>
          <w:sz w:val="25"/>
          <w:szCs w:val="25"/>
          <w:rtl/>
        </w:rPr>
        <w:t>ה בפס"ד חיפה ולא קיבלה תשובה חד משמעית הינה</w:t>
      </w:r>
      <w:r w:rsidR="00E76510">
        <w:rPr>
          <w:rFonts w:ascii="David" w:hAnsi="David" w:cs="David" w:hint="cs"/>
          <w:color w:val="000000"/>
          <w:spacing w:val="10"/>
          <w:sz w:val="25"/>
          <w:szCs w:val="25"/>
          <w:rtl/>
        </w:rPr>
        <w:t>:</w:t>
      </w:r>
    </w:p>
    <w:p w:rsidR="003D4503" w:rsidRDefault="003D4503" w:rsidP="00E76510">
      <w:pPr>
        <w:spacing w:line="360" w:lineRule="auto"/>
        <w:jc w:val="both"/>
        <w:rPr>
          <w:rFonts w:ascii="David" w:hAnsi="David" w:cs="David"/>
          <w:b/>
          <w:bCs/>
          <w:color w:val="000000"/>
          <w:spacing w:val="10"/>
          <w:sz w:val="25"/>
          <w:szCs w:val="25"/>
          <w:rtl/>
        </w:rPr>
      </w:pPr>
      <w:r w:rsidRPr="00E76510">
        <w:rPr>
          <w:rFonts w:ascii="David" w:hAnsi="David" w:cs="David"/>
          <w:b/>
          <w:bCs/>
          <w:color w:val="000000"/>
          <w:spacing w:val="10"/>
          <w:sz w:val="25"/>
          <w:szCs w:val="25"/>
          <w:u w:val="single"/>
          <w:rtl/>
        </w:rPr>
        <w:t>האם יש לראות בכל פעולה גבייה מכל סוג שהוא</w:t>
      </w:r>
      <w:r w:rsidRPr="00E76510">
        <w:rPr>
          <w:rFonts w:ascii="David" w:hAnsi="David" w:cs="David"/>
          <w:b/>
          <w:bCs/>
          <w:color w:val="000000"/>
          <w:spacing w:val="10"/>
          <w:sz w:val="25"/>
          <w:szCs w:val="25"/>
          <w:u w:val="single"/>
        </w:rPr>
        <w:t>,</w:t>
      </w:r>
      <w:r w:rsidRPr="00E76510">
        <w:rPr>
          <w:rStyle w:val="apple-converted-space"/>
          <w:rFonts w:ascii="David" w:hAnsi="David" w:cs="David"/>
          <w:b/>
          <w:bCs/>
          <w:color w:val="000000"/>
          <w:spacing w:val="10"/>
          <w:sz w:val="25"/>
          <w:szCs w:val="25"/>
          <w:u w:val="single"/>
        </w:rPr>
        <w:t> </w:t>
      </w:r>
      <w:r w:rsidRPr="00E76510">
        <w:rPr>
          <w:rFonts w:ascii="David" w:hAnsi="David" w:cs="David"/>
          <w:b/>
          <w:bCs/>
          <w:color w:val="000000"/>
          <w:sz w:val="25"/>
          <w:szCs w:val="25"/>
          <w:u w:val="single"/>
          <w:rtl/>
        </w:rPr>
        <w:t>שהובאה לידיעת החיי</w:t>
      </w:r>
      <w:r w:rsidR="001C7278">
        <w:rPr>
          <w:rFonts w:ascii="David" w:hAnsi="David" w:cs="David" w:hint="cs"/>
          <w:b/>
          <w:bCs/>
          <w:color w:val="000000"/>
          <w:sz w:val="25"/>
          <w:szCs w:val="25"/>
          <w:u w:val="single"/>
          <w:rtl/>
        </w:rPr>
        <w:t>ב</w:t>
      </w:r>
      <w:r w:rsidRPr="00E76510">
        <w:rPr>
          <w:rFonts w:ascii="David" w:hAnsi="David" w:cs="David" w:hint="cs"/>
          <w:b/>
          <w:bCs/>
          <w:color w:val="000000"/>
          <w:sz w:val="25"/>
          <w:szCs w:val="25"/>
          <w:u w:val="single"/>
          <w:rtl/>
        </w:rPr>
        <w:t xml:space="preserve">, </w:t>
      </w:r>
      <w:r w:rsidRPr="00E76510">
        <w:rPr>
          <w:rFonts w:ascii="David" w:hAnsi="David" w:cs="David"/>
          <w:b/>
          <w:bCs/>
          <w:color w:val="000000"/>
          <w:spacing w:val="10"/>
          <w:sz w:val="25"/>
          <w:szCs w:val="25"/>
          <w:u w:val="single"/>
        </w:rPr>
        <w:t xml:space="preserve"> </w:t>
      </w:r>
      <w:r w:rsidRPr="00E76510">
        <w:rPr>
          <w:rFonts w:ascii="David" w:hAnsi="David" w:cs="David"/>
          <w:b/>
          <w:bCs/>
          <w:color w:val="000000"/>
          <w:spacing w:val="10"/>
          <w:sz w:val="25"/>
          <w:szCs w:val="25"/>
          <w:u w:val="single"/>
          <w:rtl/>
        </w:rPr>
        <w:t>משום פעולה המאפסת את מרוץ ההתיישנות</w:t>
      </w:r>
      <w:r w:rsidRPr="00E76510">
        <w:rPr>
          <w:rFonts w:ascii="David" w:hAnsi="David" w:cs="David" w:hint="cs"/>
          <w:b/>
          <w:bCs/>
          <w:color w:val="000000"/>
          <w:spacing w:val="10"/>
          <w:sz w:val="25"/>
          <w:szCs w:val="25"/>
          <w:u w:val="single"/>
          <w:rtl/>
        </w:rPr>
        <w:t>?</w:t>
      </w:r>
      <w:r>
        <w:rPr>
          <w:rFonts w:ascii="David" w:hAnsi="David" w:cs="David" w:hint="cs"/>
          <w:b/>
          <w:bCs/>
          <w:color w:val="000000"/>
          <w:spacing w:val="10"/>
          <w:sz w:val="25"/>
          <w:szCs w:val="25"/>
          <w:rtl/>
        </w:rPr>
        <w:t xml:space="preserve"> </w:t>
      </w:r>
    </w:p>
    <w:p w:rsidR="00E76510" w:rsidRDefault="00E76510" w:rsidP="00E76510">
      <w:pPr>
        <w:spacing w:line="360" w:lineRule="auto"/>
        <w:jc w:val="both"/>
        <w:rPr>
          <w:rFonts w:ascii="David" w:hAnsi="David" w:cs="David"/>
          <w:color w:val="000000"/>
          <w:spacing w:val="10"/>
          <w:sz w:val="25"/>
          <w:szCs w:val="25"/>
          <w:rtl/>
        </w:rPr>
      </w:pPr>
    </w:p>
    <w:p w:rsidR="008C7245" w:rsidRDefault="003D4503" w:rsidP="00E76510">
      <w:pPr>
        <w:spacing w:line="360" w:lineRule="auto"/>
        <w:jc w:val="both"/>
        <w:rPr>
          <w:rFonts w:ascii="David" w:hAnsi="David" w:cs="David"/>
          <w:color w:val="000000"/>
          <w:spacing w:val="10"/>
          <w:sz w:val="25"/>
          <w:szCs w:val="25"/>
          <w:rtl/>
        </w:rPr>
      </w:pPr>
      <w:r w:rsidRPr="008C7245">
        <w:rPr>
          <w:rFonts w:ascii="David" w:hAnsi="David" w:cs="David"/>
          <w:color w:val="000000"/>
          <w:spacing w:val="10"/>
          <w:sz w:val="25"/>
          <w:szCs w:val="25"/>
          <w:rtl/>
        </w:rPr>
        <w:t>הנשיא (</w:t>
      </w:r>
      <w:proofErr w:type="spellStart"/>
      <w:r w:rsidRPr="008C7245">
        <w:rPr>
          <w:rFonts w:ascii="David" w:hAnsi="David" w:cs="David"/>
          <w:color w:val="000000"/>
          <w:spacing w:val="10"/>
          <w:sz w:val="25"/>
          <w:szCs w:val="25"/>
          <w:rtl/>
        </w:rPr>
        <w:t>בדימ</w:t>
      </w:r>
      <w:proofErr w:type="spellEnd"/>
      <w:r w:rsidRPr="008C7245">
        <w:rPr>
          <w:rFonts w:ascii="David" w:hAnsi="David" w:cs="David"/>
          <w:color w:val="000000"/>
          <w:spacing w:val="10"/>
          <w:sz w:val="25"/>
          <w:szCs w:val="25"/>
          <w:rtl/>
        </w:rPr>
        <w:t xml:space="preserve">') א' </w:t>
      </w:r>
      <w:proofErr w:type="spellStart"/>
      <w:r w:rsidRPr="008C7245">
        <w:rPr>
          <w:rFonts w:ascii="David" w:hAnsi="David" w:cs="David"/>
          <w:color w:val="000000"/>
          <w:spacing w:val="10"/>
          <w:sz w:val="25"/>
          <w:szCs w:val="25"/>
          <w:rtl/>
        </w:rPr>
        <w:t>גרוניס</w:t>
      </w:r>
      <w:proofErr w:type="spellEnd"/>
      <w:r w:rsidR="008C7245" w:rsidRPr="008C7245">
        <w:rPr>
          <w:rFonts w:ascii="David" w:hAnsi="David" w:cs="David"/>
          <w:color w:val="000000"/>
          <w:spacing w:val="10"/>
          <w:sz w:val="25"/>
          <w:szCs w:val="25"/>
        </w:rPr>
        <w:t xml:space="preserve"> </w:t>
      </w:r>
      <w:r w:rsidR="008C7245" w:rsidRPr="008C7245">
        <w:rPr>
          <w:rFonts w:ascii="David" w:hAnsi="David" w:cs="David"/>
          <w:color w:val="000000"/>
          <w:spacing w:val="10"/>
          <w:sz w:val="25"/>
          <w:szCs w:val="25"/>
          <w:rtl/>
        </w:rPr>
        <w:t xml:space="preserve"> התייחס לשאלה בסעיף 21 לפסק </w:t>
      </w:r>
      <w:r w:rsidR="001C7278">
        <w:rPr>
          <w:rFonts w:ascii="David" w:hAnsi="David" w:cs="David" w:hint="cs"/>
          <w:color w:val="000000"/>
          <w:spacing w:val="10"/>
          <w:sz w:val="25"/>
          <w:szCs w:val="25"/>
          <w:rtl/>
        </w:rPr>
        <w:t xml:space="preserve">דינו (בפס"ד </w:t>
      </w:r>
      <w:r w:rsidR="008C7245">
        <w:rPr>
          <w:rFonts w:ascii="David" w:hAnsi="David" w:cs="David" w:hint="cs"/>
          <w:color w:val="000000"/>
          <w:spacing w:val="10"/>
          <w:sz w:val="25"/>
          <w:szCs w:val="25"/>
          <w:rtl/>
        </w:rPr>
        <w:t>חיפה</w:t>
      </w:r>
      <w:r w:rsidR="001C7278">
        <w:rPr>
          <w:rFonts w:ascii="David" w:hAnsi="David" w:cs="David" w:hint="cs"/>
          <w:color w:val="000000"/>
          <w:spacing w:val="10"/>
          <w:sz w:val="25"/>
          <w:szCs w:val="25"/>
          <w:rtl/>
        </w:rPr>
        <w:t>)</w:t>
      </w:r>
      <w:r w:rsidR="008C7245">
        <w:rPr>
          <w:rFonts w:ascii="David" w:hAnsi="David" w:cs="David" w:hint="cs"/>
          <w:color w:val="000000"/>
          <w:spacing w:val="10"/>
          <w:sz w:val="25"/>
          <w:szCs w:val="25"/>
          <w:rtl/>
        </w:rPr>
        <w:t xml:space="preserve"> </w:t>
      </w:r>
      <w:r w:rsidR="008C7245" w:rsidRPr="008C7245">
        <w:rPr>
          <w:rFonts w:ascii="David" w:hAnsi="David" w:cs="David"/>
          <w:color w:val="000000"/>
          <w:spacing w:val="10"/>
          <w:sz w:val="25"/>
          <w:szCs w:val="25"/>
          <w:rtl/>
        </w:rPr>
        <w:t>וקבע</w:t>
      </w:r>
      <w:r w:rsidR="008C7245">
        <w:rPr>
          <w:rFonts w:ascii="David" w:hAnsi="David" w:cs="David" w:hint="cs"/>
          <w:color w:val="000000"/>
          <w:spacing w:val="10"/>
          <w:sz w:val="25"/>
          <w:szCs w:val="25"/>
          <w:rtl/>
        </w:rPr>
        <w:t>:</w:t>
      </w:r>
      <w:r w:rsidR="008C7245">
        <w:rPr>
          <w:rFonts w:ascii="David" w:hAnsi="David" w:cs="David"/>
          <w:color w:val="000000"/>
          <w:spacing w:val="10"/>
          <w:sz w:val="25"/>
          <w:szCs w:val="25"/>
          <w:rtl/>
        </w:rPr>
        <w:t xml:space="preserve"> </w:t>
      </w:r>
    </w:p>
    <w:p w:rsidR="008C7245" w:rsidRDefault="008C7245" w:rsidP="00E76510">
      <w:pPr>
        <w:spacing w:line="360" w:lineRule="auto"/>
        <w:jc w:val="both"/>
        <w:rPr>
          <w:rFonts w:ascii="David" w:hAnsi="David" w:cs="David"/>
          <w:b/>
          <w:bCs/>
          <w:color w:val="000000"/>
          <w:spacing w:val="10"/>
          <w:sz w:val="25"/>
          <w:szCs w:val="25"/>
          <w:rtl/>
        </w:rPr>
      </w:pPr>
      <w:r w:rsidRPr="008C7245">
        <w:rPr>
          <w:rFonts w:ascii="FrankRuehl" w:hAnsi="FrankRuehl" w:cs="FrankRuehl" w:hint="cs"/>
          <w:b/>
          <w:bCs/>
          <w:color w:val="000000"/>
          <w:spacing w:val="10"/>
          <w:sz w:val="25"/>
          <w:szCs w:val="25"/>
          <w:rtl/>
        </w:rPr>
        <w:t xml:space="preserve">" </w:t>
      </w:r>
      <w:r w:rsidRPr="008C7245">
        <w:rPr>
          <w:rFonts w:ascii="FrankRuehl" w:hAnsi="FrankRuehl" w:cs="FrankRuehl"/>
          <w:b/>
          <w:bCs/>
          <w:color w:val="000000"/>
          <w:spacing w:val="10"/>
          <w:sz w:val="25"/>
          <w:szCs w:val="25"/>
          <w:rtl/>
        </w:rPr>
        <w:t xml:space="preserve">יש לאמץ כלל הקובע שפעולות גבייה </w:t>
      </w:r>
      <w:proofErr w:type="spellStart"/>
      <w:r w:rsidRPr="008C7245">
        <w:rPr>
          <w:rFonts w:ascii="FrankRuehl" w:hAnsi="FrankRuehl" w:cs="FrankRuehl"/>
          <w:b/>
          <w:bCs/>
          <w:color w:val="000000"/>
          <w:spacing w:val="10"/>
          <w:sz w:val="25"/>
          <w:szCs w:val="25"/>
          <w:rtl/>
        </w:rPr>
        <w:t>מינהליות</w:t>
      </w:r>
      <w:proofErr w:type="spellEnd"/>
      <w:r w:rsidRPr="008C7245">
        <w:rPr>
          <w:rFonts w:ascii="FrankRuehl" w:hAnsi="FrankRuehl" w:cs="FrankRuehl"/>
          <w:b/>
          <w:bCs/>
          <w:color w:val="000000"/>
          <w:spacing w:val="10"/>
          <w:sz w:val="25"/>
          <w:szCs w:val="25"/>
          <w:rtl/>
        </w:rPr>
        <w:t xml:space="preserve"> שלא הובאו לידיעת החייב לא יאפסו את תקופת ההתיישנות, ואילו כאלה שהובאו לידיעתו יקימו חזקה בדבר איפוס </w:t>
      </w:r>
      <w:proofErr w:type="spellStart"/>
      <w:r w:rsidRPr="008C7245">
        <w:rPr>
          <w:rFonts w:ascii="FrankRuehl" w:hAnsi="FrankRuehl" w:cs="FrankRuehl"/>
          <w:b/>
          <w:bCs/>
          <w:color w:val="000000"/>
          <w:spacing w:val="10"/>
          <w:sz w:val="25"/>
          <w:szCs w:val="25"/>
          <w:rtl/>
        </w:rPr>
        <w:t>מירוץ</w:t>
      </w:r>
      <w:proofErr w:type="spellEnd"/>
      <w:r w:rsidRPr="008C7245">
        <w:rPr>
          <w:rFonts w:ascii="FrankRuehl" w:hAnsi="FrankRuehl" w:cs="FrankRuehl"/>
          <w:b/>
          <w:bCs/>
          <w:color w:val="000000"/>
          <w:spacing w:val="10"/>
          <w:sz w:val="25"/>
          <w:szCs w:val="25"/>
          <w:rtl/>
        </w:rPr>
        <w:t xml:space="preserve"> ההתיישנות (ראו גם</w:t>
      </w:r>
      <w:r w:rsidRPr="008C7245">
        <w:rPr>
          <w:rStyle w:val="apple-converted-space"/>
          <w:rFonts w:ascii="FrankRuehl" w:hAnsi="FrankRuehl" w:cs="FrankRuehl"/>
          <w:b/>
          <w:bCs/>
          <w:color w:val="000000"/>
          <w:spacing w:val="10"/>
          <w:sz w:val="25"/>
          <w:szCs w:val="25"/>
          <w:rtl/>
        </w:rPr>
        <w:t> </w:t>
      </w:r>
      <w:r w:rsidRPr="008C7245">
        <w:rPr>
          <w:rFonts w:ascii="Miriam" w:hAnsi="Miriam" w:cs="Miriam"/>
          <w:b/>
          <w:bCs/>
          <w:color w:val="000000"/>
          <w:sz w:val="25"/>
          <w:szCs w:val="25"/>
          <w:rtl/>
        </w:rPr>
        <w:t>חבקין</w:t>
      </w:r>
      <w:r w:rsidRPr="008C7245">
        <w:rPr>
          <w:rFonts w:ascii="FrankRuehl" w:hAnsi="FrankRuehl" w:cs="FrankRuehl"/>
          <w:b/>
          <w:bCs/>
          <w:color w:val="000000"/>
          <w:spacing w:val="10"/>
          <w:sz w:val="25"/>
          <w:szCs w:val="25"/>
        </w:rPr>
        <w:t xml:space="preserve">, </w:t>
      </w:r>
      <w:r w:rsidRPr="008C7245">
        <w:rPr>
          <w:rFonts w:ascii="FrankRuehl" w:hAnsi="FrankRuehl" w:cs="FrankRuehl"/>
          <w:b/>
          <w:bCs/>
          <w:color w:val="000000"/>
          <w:spacing w:val="10"/>
          <w:sz w:val="25"/>
          <w:szCs w:val="25"/>
          <w:rtl/>
        </w:rPr>
        <w:t xml:space="preserve">בעמ' 274-273). מסקנה כזו מתיישבת עם פסק דינו של בית משפט זה </w:t>
      </w:r>
      <w:proofErr w:type="spellStart"/>
      <w:r w:rsidRPr="008C7245">
        <w:rPr>
          <w:rFonts w:ascii="FrankRuehl" w:hAnsi="FrankRuehl" w:cs="FrankRuehl"/>
          <w:b/>
          <w:bCs/>
          <w:color w:val="000000"/>
          <w:spacing w:val="10"/>
          <w:sz w:val="25"/>
          <w:szCs w:val="25"/>
          <w:rtl/>
        </w:rPr>
        <w:t>ברע"א</w:t>
      </w:r>
      <w:proofErr w:type="spellEnd"/>
      <w:r w:rsidRPr="008C7245">
        <w:rPr>
          <w:rFonts w:ascii="FrankRuehl" w:hAnsi="FrankRuehl" w:cs="FrankRuehl"/>
          <w:b/>
          <w:bCs/>
          <w:color w:val="000000"/>
          <w:spacing w:val="10"/>
          <w:sz w:val="25"/>
          <w:szCs w:val="25"/>
          <w:rtl/>
        </w:rPr>
        <w:t xml:space="preserve"> 5255/11</w:t>
      </w:r>
      <w:r w:rsidRPr="008C7245">
        <w:rPr>
          <w:rStyle w:val="apple-converted-space"/>
          <w:rFonts w:ascii="FrankRuehl" w:hAnsi="FrankRuehl" w:cs="FrankRuehl"/>
          <w:b/>
          <w:bCs/>
          <w:color w:val="000000"/>
          <w:spacing w:val="10"/>
          <w:sz w:val="25"/>
          <w:szCs w:val="25"/>
          <w:rtl/>
        </w:rPr>
        <w:t> </w:t>
      </w:r>
      <w:r w:rsidRPr="008C7245">
        <w:rPr>
          <w:rFonts w:ascii="Miriam" w:hAnsi="Miriam" w:cs="Miriam"/>
          <w:b/>
          <w:bCs/>
          <w:color w:val="000000"/>
          <w:sz w:val="25"/>
          <w:szCs w:val="25"/>
          <w:rtl/>
        </w:rPr>
        <w:t>עיריית הרצליה נ' כרם</w:t>
      </w:r>
      <w:r w:rsidRPr="008C7245">
        <w:rPr>
          <w:rStyle w:val="apple-converted-space"/>
          <w:rFonts w:ascii="FrankRuehl" w:hAnsi="FrankRuehl" w:cs="FrankRuehl"/>
          <w:b/>
          <w:bCs/>
          <w:color w:val="000000"/>
          <w:spacing w:val="10"/>
          <w:sz w:val="25"/>
          <w:szCs w:val="25"/>
          <w:rtl/>
        </w:rPr>
        <w:t> </w:t>
      </w:r>
      <w:r w:rsidRPr="008C7245">
        <w:rPr>
          <w:rFonts w:ascii="FrankRuehl" w:hAnsi="FrankRuehl" w:cs="FrankRuehl"/>
          <w:b/>
          <w:bCs/>
          <w:color w:val="000000"/>
          <w:spacing w:val="10"/>
          <w:sz w:val="25"/>
          <w:szCs w:val="25"/>
        </w:rPr>
        <w:t>(11.6.2013) (</w:t>
      </w:r>
      <w:r w:rsidRPr="008C7245">
        <w:rPr>
          <w:rFonts w:ascii="FrankRuehl" w:hAnsi="FrankRuehl" w:cs="FrankRuehl"/>
          <w:b/>
          <w:bCs/>
          <w:color w:val="000000"/>
          <w:spacing w:val="10"/>
          <w:sz w:val="25"/>
          <w:szCs w:val="25"/>
          <w:rtl/>
        </w:rPr>
        <w:t>להלן</w:t>
      </w:r>
      <w:r w:rsidRPr="008C7245">
        <w:rPr>
          <w:rFonts w:ascii="FrankRuehl" w:hAnsi="FrankRuehl" w:cs="FrankRuehl"/>
          <w:b/>
          <w:bCs/>
          <w:color w:val="000000"/>
          <w:spacing w:val="10"/>
          <w:sz w:val="25"/>
          <w:szCs w:val="25"/>
        </w:rPr>
        <w:t xml:space="preserve"> –</w:t>
      </w:r>
      <w:r w:rsidRPr="008C7245">
        <w:rPr>
          <w:rStyle w:val="apple-converted-space"/>
          <w:rFonts w:ascii="FrankRuehl" w:hAnsi="FrankRuehl" w:cs="FrankRuehl"/>
          <w:b/>
          <w:bCs/>
          <w:color w:val="000000"/>
          <w:spacing w:val="10"/>
          <w:sz w:val="25"/>
          <w:szCs w:val="25"/>
        </w:rPr>
        <w:t> </w:t>
      </w:r>
      <w:r w:rsidRPr="008C7245">
        <w:rPr>
          <w:rFonts w:ascii="Miriam" w:hAnsi="Miriam" w:cs="Miriam"/>
          <w:b/>
          <w:bCs/>
          <w:color w:val="000000"/>
          <w:sz w:val="25"/>
          <w:szCs w:val="25"/>
          <w:rtl/>
        </w:rPr>
        <w:t>עניין כרם</w:t>
      </w:r>
      <w:r w:rsidRPr="008C7245">
        <w:rPr>
          <w:rFonts w:ascii="FrankRuehl" w:hAnsi="FrankRuehl" w:cs="FrankRuehl"/>
          <w:b/>
          <w:bCs/>
          <w:color w:val="000000"/>
          <w:spacing w:val="10"/>
          <w:sz w:val="25"/>
          <w:szCs w:val="25"/>
        </w:rPr>
        <w:t xml:space="preserve">), </w:t>
      </w:r>
      <w:r w:rsidRPr="008C7245">
        <w:rPr>
          <w:rFonts w:ascii="FrankRuehl" w:hAnsi="FrankRuehl" w:cs="FrankRuehl"/>
          <w:b/>
          <w:bCs/>
          <w:color w:val="000000"/>
          <w:spacing w:val="10"/>
          <w:sz w:val="25"/>
          <w:szCs w:val="25"/>
          <w:rtl/>
        </w:rPr>
        <w:t xml:space="preserve">שם נפסק כי רשות </w:t>
      </w:r>
      <w:proofErr w:type="spellStart"/>
      <w:r w:rsidRPr="008C7245">
        <w:rPr>
          <w:rFonts w:ascii="FrankRuehl" w:hAnsi="FrankRuehl" w:cs="FrankRuehl"/>
          <w:b/>
          <w:bCs/>
          <w:color w:val="000000"/>
          <w:spacing w:val="10"/>
          <w:sz w:val="25"/>
          <w:szCs w:val="25"/>
          <w:rtl/>
        </w:rPr>
        <w:t>מינהלית</w:t>
      </w:r>
      <w:proofErr w:type="spellEnd"/>
      <w:r w:rsidRPr="008C7245">
        <w:rPr>
          <w:rFonts w:ascii="FrankRuehl" w:hAnsi="FrankRuehl" w:cs="FrankRuehl"/>
          <w:b/>
          <w:bCs/>
          <w:color w:val="000000"/>
          <w:spacing w:val="10"/>
          <w:sz w:val="25"/>
          <w:szCs w:val="25"/>
          <w:rtl/>
        </w:rPr>
        <w:t xml:space="preserve">, המבצעת גבייה </w:t>
      </w:r>
      <w:proofErr w:type="spellStart"/>
      <w:r w:rsidRPr="008C7245">
        <w:rPr>
          <w:rFonts w:ascii="FrankRuehl" w:hAnsi="FrankRuehl" w:cs="FrankRuehl"/>
          <w:b/>
          <w:bCs/>
          <w:color w:val="000000"/>
          <w:spacing w:val="10"/>
          <w:sz w:val="25"/>
          <w:szCs w:val="25"/>
          <w:rtl/>
        </w:rPr>
        <w:t>מינהלית</w:t>
      </w:r>
      <w:proofErr w:type="spellEnd"/>
      <w:r w:rsidRPr="008C7245">
        <w:rPr>
          <w:rFonts w:ascii="FrankRuehl" w:hAnsi="FrankRuehl" w:cs="FrankRuehl"/>
          <w:b/>
          <w:bCs/>
          <w:color w:val="000000"/>
          <w:spacing w:val="10"/>
          <w:sz w:val="25"/>
          <w:szCs w:val="25"/>
          <w:rtl/>
        </w:rPr>
        <w:t xml:space="preserve"> של קנסות פליליים שהוטלו כדין, רשאית להסתמך על חזקת המצאה בדואר של דרישת תשלום מכוח סעיף 12ב לפקודת המסים לצורך</w:t>
      </w:r>
      <w:r w:rsidRPr="008C7245">
        <w:rPr>
          <w:rStyle w:val="apple-converted-space"/>
          <w:rFonts w:ascii="FrankRuehl" w:hAnsi="FrankRuehl" w:cs="FrankRuehl"/>
          <w:b/>
          <w:bCs/>
          <w:color w:val="000000"/>
          <w:spacing w:val="10"/>
          <w:sz w:val="25"/>
          <w:szCs w:val="25"/>
          <w:rtl/>
        </w:rPr>
        <w:t> </w:t>
      </w:r>
      <w:r w:rsidRPr="008C7245">
        <w:rPr>
          <w:rFonts w:ascii="Miriam" w:hAnsi="Miriam" w:cs="Miriam"/>
          <w:b/>
          <w:bCs/>
          <w:color w:val="000000"/>
          <w:sz w:val="25"/>
          <w:szCs w:val="25"/>
          <w:rtl/>
        </w:rPr>
        <w:t>איפוס תקופת התיישנותו של הקנס</w:t>
      </w:r>
      <w:r w:rsidRPr="008C7245">
        <w:rPr>
          <w:rStyle w:val="apple-converted-space"/>
          <w:rFonts w:ascii="FrankRuehl" w:hAnsi="FrankRuehl" w:cs="FrankRuehl"/>
          <w:b/>
          <w:bCs/>
          <w:color w:val="000000"/>
          <w:spacing w:val="10"/>
          <w:sz w:val="25"/>
          <w:szCs w:val="25"/>
          <w:rtl/>
        </w:rPr>
        <w:t> </w:t>
      </w:r>
      <w:r w:rsidRPr="008C7245">
        <w:rPr>
          <w:rFonts w:ascii="FrankRuehl" w:hAnsi="FrankRuehl" w:cs="FrankRuehl"/>
          <w:b/>
          <w:bCs/>
          <w:color w:val="000000"/>
          <w:spacing w:val="10"/>
          <w:sz w:val="25"/>
          <w:szCs w:val="25"/>
        </w:rPr>
        <w:t>(</w:t>
      </w:r>
      <w:r w:rsidRPr="008C7245">
        <w:rPr>
          <w:rFonts w:ascii="FrankRuehl" w:hAnsi="FrankRuehl" w:cs="FrankRuehl"/>
          <w:b/>
          <w:bCs/>
          <w:color w:val="000000"/>
          <w:spacing w:val="10"/>
          <w:sz w:val="25"/>
          <w:szCs w:val="25"/>
          <w:rtl/>
        </w:rPr>
        <w:t>ראו במיוחד פיסקה 15 והאסמכתאות</w:t>
      </w:r>
      <w:r w:rsidRPr="008C7245">
        <w:rPr>
          <w:rStyle w:val="apple-converted-space"/>
          <w:rFonts w:ascii="FrankRuehl" w:hAnsi="FrankRuehl" w:cs="FrankRuehl"/>
          <w:b/>
          <w:bCs/>
          <w:color w:val="000000"/>
          <w:spacing w:val="10"/>
          <w:sz w:val="25"/>
          <w:szCs w:val="25"/>
          <w:rtl/>
        </w:rPr>
        <w:t> </w:t>
      </w:r>
      <w:r w:rsidRPr="008C7245">
        <w:rPr>
          <w:rFonts w:ascii="Miriam" w:hAnsi="Miriam" w:cs="Miriam"/>
          <w:b/>
          <w:bCs/>
          <w:color w:val="000000"/>
          <w:sz w:val="25"/>
          <w:szCs w:val="25"/>
          <w:rtl/>
        </w:rPr>
        <w:t>שם</w:t>
      </w:r>
      <w:r w:rsidRPr="008C7245">
        <w:rPr>
          <w:rFonts w:ascii="FrankRuehl" w:hAnsi="FrankRuehl" w:cs="FrankRuehl"/>
          <w:b/>
          <w:bCs/>
          <w:color w:val="000000"/>
          <w:spacing w:val="10"/>
          <w:sz w:val="25"/>
          <w:szCs w:val="25"/>
        </w:rPr>
        <w:t xml:space="preserve">) </w:t>
      </w:r>
      <w:r w:rsidRPr="008C7245">
        <w:rPr>
          <w:rFonts w:ascii="FrankRuehl" w:hAnsi="FrankRuehl" w:cs="FrankRuehl"/>
          <w:b/>
          <w:bCs/>
          <w:color w:val="000000"/>
          <w:spacing w:val="10"/>
          <w:sz w:val="25"/>
          <w:szCs w:val="25"/>
          <w:rtl/>
        </w:rPr>
        <w:t xml:space="preserve">נוסיף, כי רשות מקומית שאינה מודעת כלל לעילה שבגינה ניתן לגבות ארנונה (למשל, כאשר הרשות אינה מודעת לבנייה לא חוקית), עשויה לנסות להסתמך על סעיף 8 לחוק ההתיישנות, על מנת להאריך את תקופת ההתיישנות (ראו והשוו, </w:t>
      </w:r>
      <w:proofErr w:type="spellStart"/>
      <w:r w:rsidRPr="008C7245">
        <w:rPr>
          <w:rFonts w:ascii="FrankRuehl" w:hAnsi="FrankRuehl" w:cs="FrankRuehl"/>
          <w:b/>
          <w:bCs/>
          <w:color w:val="000000"/>
          <w:spacing w:val="10"/>
          <w:sz w:val="25"/>
          <w:szCs w:val="25"/>
          <w:rtl/>
        </w:rPr>
        <w:t>עע"ם</w:t>
      </w:r>
      <w:proofErr w:type="spellEnd"/>
      <w:r w:rsidRPr="008C7245">
        <w:rPr>
          <w:rFonts w:ascii="FrankRuehl" w:hAnsi="FrankRuehl" w:cs="FrankRuehl"/>
          <w:b/>
          <w:bCs/>
          <w:color w:val="000000"/>
          <w:spacing w:val="10"/>
          <w:sz w:val="25"/>
          <w:szCs w:val="25"/>
          <w:rtl/>
        </w:rPr>
        <w:t xml:space="preserve"> 7878/10</w:t>
      </w:r>
      <w:r w:rsidRPr="008C7245">
        <w:rPr>
          <w:rStyle w:val="apple-converted-space"/>
          <w:rFonts w:ascii="FrankRuehl" w:hAnsi="FrankRuehl" w:cs="FrankRuehl"/>
          <w:b/>
          <w:bCs/>
          <w:color w:val="000000"/>
          <w:spacing w:val="10"/>
          <w:sz w:val="25"/>
          <w:szCs w:val="25"/>
          <w:rtl/>
        </w:rPr>
        <w:t> </w:t>
      </w:r>
      <w:r w:rsidRPr="008C7245">
        <w:rPr>
          <w:rFonts w:ascii="Miriam" w:hAnsi="Miriam" w:cs="Miriam"/>
          <w:b/>
          <w:bCs/>
          <w:color w:val="000000"/>
          <w:sz w:val="25"/>
          <w:szCs w:val="25"/>
          <w:rtl/>
        </w:rPr>
        <w:t xml:space="preserve">עיריית רעננה נ' </w:t>
      </w:r>
      <w:proofErr w:type="spellStart"/>
      <w:r w:rsidRPr="008C7245">
        <w:rPr>
          <w:rFonts w:ascii="Miriam" w:hAnsi="Miriam" w:cs="Miriam"/>
          <w:b/>
          <w:bCs/>
          <w:color w:val="000000"/>
          <w:sz w:val="25"/>
          <w:szCs w:val="25"/>
          <w:rtl/>
        </w:rPr>
        <w:t>שמיע</w:t>
      </w:r>
      <w:proofErr w:type="spellEnd"/>
      <w:r w:rsidRPr="008C7245">
        <w:rPr>
          <w:rStyle w:val="apple-converted-space"/>
          <w:rFonts w:ascii="FrankRuehl" w:hAnsi="FrankRuehl" w:cs="FrankRuehl"/>
          <w:b/>
          <w:bCs/>
          <w:color w:val="000000"/>
          <w:spacing w:val="10"/>
          <w:sz w:val="25"/>
          <w:szCs w:val="25"/>
          <w:rtl/>
        </w:rPr>
        <w:t> </w:t>
      </w:r>
      <w:r w:rsidRPr="008C7245">
        <w:rPr>
          <w:rFonts w:ascii="FrankRuehl" w:hAnsi="FrankRuehl" w:cs="FrankRuehl"/>
          <w:b/>
          <w:bCs/>
          <w:color w:val="000000"/>
          <w:spacing w:val="10"/>
          <w:sz w:val="25"/>
          <w:szCs w:val="25"/>
        </w:rPr>
        <w:t>(31.1.2012)).</w:t>
      </w:r>
      <w:r w:rsidRPr="008C7245">
        <w:rPr>
          <w:rFonts w:ascii="David" w:hAnsi="David" w:cs="David" w:hint="cs"/>
          <w:b/>
          <w:bCs/>
          <w:color w:val="000000"/>
          <w:spacing w:val="10"/>
          <w:sz w:val="25"/>
          <w:szCs w:val="25"/>
          <w:rtl/>
        </w:rPr>
        <w:t xml:space="preserve">" </w:t>
      </w:r>
    </w:p>
    <w:p w:rsidR="008C7245" w:rsidRDefault="008C7245" w:rsidP="001C7278">
      <w:pPr>
        <w:spacing w:line="360" w:lineRule="auto"/>
        <w:jc w:val="both"/>
        <w:rPr>
          <w:rFonts w:ascii="David" w:hAnsi="David" w:cs="David"/>
          <w:color w:val="000000"/>
          <w:spacing w:val="10"/>
          <w:sz w:val="25"/>
          <w:szCs w:val="25"/>
          <w:rtl/>
        </w:rPr>
      </w:pPr>
      <w:r w:rsidRPr="008C7245">
        <w:rPr>
          <w:rFonts w:ascii="David" w:hAnsi="David" w:cs="David"/>
          <w:color w:val="000000"/>
          <w:spacing w:val="10"/>
          <w:sz w:val="25"/>
          <w:szCs w:val="25"/>
          <w:rtl/>
        </w:rPr>
        <w:t>מאידך, דעתה של השופטת ד' ברק-ארז</w:t>
      </w:r>
      <w:r>
        <w:rPr>
          <w:rFonts w:ascii="David" w:hAnsi="David" w:cs="David"/>
          <w:color w:val="000000"/>
          <w:spacing w:val="10"/>
          <w:sz w:val="25"/>
          <w:szCs w:val="25"/>
        </w:rPr>
        <w:t xml:space="preserve">  </w:t>
      </w:r>
      <w:r>
        <w:rPr>
          <w:rFonts w:ascii="David" w:hAnsi="David" w:cs="David" w:hint="cs"/>
          <w:color w:val="000000"/>
          <w:spacing w:val="10"/>
          <w:sz w:val="25"/>
          <w:szCs w:val="25"/>
          <w:rtl/>
        </w:rPr>
        <w:t xml:space="preserve">בסעיף 13 לפסק דינה </w:t>
      </w:r>
      <w:r w:rsidR="001C7278">
        <w:rPr>
          <w:rFonts w:ascii="David" w:hAnsi="David" w:cs="David" w:hint="cs"/>
          <w:color w:val="000000"/>
          <w:spacing w:val="10"/>
          <w:sz w:val="25"/>
          <w:szCs w:val="25"/>
          <w:rtl/>
        </w:rPr>
        <w:t>(בפס"ד</w:t>
      </w:r>
      <w:r>
        <w:rPr>
          <w:rFonts w:ascii="David" w:hAnsi="David" w:cs="David" w:hint="cs"/>
          <w:color w:val="000000"/>
          <w:spacing w:val="10"/>
          <w:sz w:val="25"/>
          <w:szCs w:val="25"/>
          <w:rtl/>
        </w:rPr>
        <w:t xml:space="preserve"> חיפה</w:t>
      </w:r>
      <w:r w:rsidR="001C7278">
        <w:rPr>
          <w:rFonts w:ascii="David" w:hAnsi="David" w:cs="David" w:hint="cs"/>
          <w:color w:val="000000"/>
          <w:spacing w:val="10"/>
          <w:sz w:val="25"/>
          <w:szCs w:val="25"/>
          <w:rtl/>
        </w:rPr>
        <w:t>)</w:t>
      </w:r>
      <w:r>
        <w:rPr>
          <w:rFonts w:ascii="David" w:hAnsi="David" w:cs="David" w:hint="cs"/>
          <w:color w:val="000000"/>
          <w:spacing w:val="10"/>
          <w:sz w:val="25"/>
          <w:szCs w:val="25"/>
          <w:rtl/>
        </w:rPr>
        <w:t xml:space="preserve">, הייתה שונה: </w:t>
      </w:r>
    </w:p>
    <w:p w:rsidR="008C7245" w:rsidRPr="008C7245" w:rsidRDefault="008C7245" w:rsidP="00E76510">
      <w:pPr>
        <w:pStyle w:val="ruller4"/>
        <w:bidi/>
        <w:spacing w:before="0" w:beforeAutospacing="0" w:after="0" w:afterAutospacing="0" w:line="360" w:lineRule="auto"/>
        <w:jc w:val="both"/>
        <w:rPr>
          <w:rFonts w:ascii="Arial" w:hAnsi="Arial" w:cs="Arial"/>
          <w:color w:val="000000"/>
          <w:spacing w:val="10"/>
          <w:sz w:val="25"/>
          <w:szCs w:val="25"/>
          <w:rtl/>
        </w:rPr>
      </w:pPr>
      <w:r w:rsidRPr="008C7245">
        <w:rPr>
          <w:rFonts w:ascii="FrankRuehl" w:hAnsi="FrankRuehl" w:cs="FrankRuehl"/>
          <w:color w:val="000000"/>
          <w:spacing w:val="10"/>
          <w:sz w:val="25"/>
          <w:szCs w:val="25"/>
          <w:rtl/>
        </w:rPr>
        <w:t> </w:t>
      </w:r>
    </w:p>
    <w:p w:rsidR="008C7245" w:rsidRPr="008C7245" w:rsidRDefault="008C7245" w:rsidP="00E76510">
      <w:pPr>
        <w:pStyle w:val="ruller4"/>
        <w:bidi/>
        <w:spacing w:before="0" w:beforeAutospacing="0" w:after="0" w:afterAutospacing="0" w:line="360" w:lineRule="auto"/>
        <w:jc w:val="both"/>
        <w:rPr>
          <w:rFonts w:ascii="Arial" w:hAnsi="Arial" w:cs="Arial"/>
          <w:b/>
          <w:bCs/>
          <w:color w:val="000000"/>
          <w:spacing w:val="10"/>
          <w:sz w:val="25"/>
          <w:szCs w:val="25"/>
          <w:rtl/>
        </w:rPr>
      </w:pPr>
      <w:r w:rsidRPr="008C7245">
        <w:rPr>
          <w:rFonts w:ascii="FrankRuehl" w:hAnsi="FrankRuehl" w:cs="FrankRuehl" w:hint="cs"/>
          <w:b/>
          <w:bCs/>
          <w:color w:val="000000"/>
          <w:spacing w:val="10"/>
          <w:sz w:val="25"/>
          <w:szCs w:val="25"/>
          <w:rtl/>
        </w:rPr>
        <w:t xml:space="preserve">" </w:t>
      </w:r>
      <w:r w:rsidRPr="008C7245">
        <w:rPr>
          <w:rFonts w:ascii="FrankRuehl" w:hAnsi="FrankRuehl" w:cs="FrankRuehl"/>
          <w:b/>
          <w:bCs/>
          <w:color w:val="000000"/>
          <w:spacing w:val="10"/>
          <w:sz w:val="25"/>
          <w:szCs w:val="25"/>
          <w:rtl/>
        </w:rPr>
        <w:t xml:space="preserve">חוסר ההתאמה בין הסדריו של חוק ההתיישנות לבין הליכי גבייה </w:t>
      </w:r>
      <w:proofErr w:type="spellStart"/>
      <w:r w:rsidRPr="008C7245">
        <w:rPr>
          <w:rFonts w:ascii="FrankRuehl" w:hAnsi="FrankRuehl" w:cs="FrankRuehl"/>
          <w:b/>
          <w:bCs/>
          <w:color w:val="000000"/>
          <w:spacing w:val="10"/>
          <w:sz w:val="25"/>
          <w:szCs w:val="25"/>
          <w:rtl/>
        </w:rPr>
        <w:t>מינהליים</w:t>
      </w:r>
      <w:proofErr w:type="spellEnd"/>
      <w:r w:rsidRPr="008C7245">
        <w:rPr>
          <w:rFonts w:ascii="FrankRuehl" w:hAnsi="FrankRuehl" w:cs="FrankRuehl"/>
          <w:b/>
          <w:bCs/>
          <w:color w:val="000000"/>
          <w:spacing w:val="10"/>
          <w:sz w:val="25"/>
          <w:szCs w:val="25"/>
          <w:rtl/>
        </w:rPr>
        <w:t xml:space="preserve"> עולה אף מחוות דעתו של חברי הנשיא (</w:t>
      </w:r>
      <w:proofErr w:type="spellStart"/>
      <w:r w:rsidRPr="008C7245">
        <w:rPr>
          <w:rFonts w:ascii="FrankRuehl" w:hAnsi="FrankRuehl" w:cs="FrankRuehl"/>
          <w:b/>
          <w:bCs/>
          <w:color w:val="000000"/>
          <w:spacing w:val="10"/>
          <w:sz w:val="25"/>
          <w:szCs w:val="25"/>
          <w:rtl/>
        </w:rPr>
        <w:t>בדימ</w:t>
      </w:r>
      <w:proofErr w:type="spellEnd"/>
      <w:r w:rsidRPr="008C7245">
        <w:rPr>
          <w:rFonts w:ascii="FrankRuehl" w:hAnsi="FrankRuehl" w:cs="FrankRuehl"/>
          <w:b/>
          <w:bCs/>
          <w:color w:val="000000"/>
          <w:spacing w:val="10"/>
          <w:sz w:val="25"/>
          <w:szCs w:val="25"/>
          <w:rtl/>
        </w:rPr>
        <w:t>')</w:t>
      </w:r>
      <w:r w:rsidRPr="008C7245">
        <w:rPr>
          <w:rStyle w:val="apple-converted-space"/>
          <w:rFonts w:ascii="FrankRuehl" w:hAnsi="FrankRuehl" w:cs="FrankRuehl"/>
          <w:b/>
          <w:bCs/>
          <w:color w:val="000000"/>
          <w:spacing w:val="10"/>
          <w:sz w:val="25"/>
          <w:szCs w:val="25"/>
          <w:rtl/>
        </w:rPr>
        <w:t> </w:t>
      </w:r>
      <w:proofErr w:type="spellStart"/>
      <w:r w:rsidRPr="008C7245">
        <w:rPr>
          <w:rFonts w:ascii="Miriam" w:hAnsi="Miriam" w:cs="Miriam"/>
          <w:b/>
          <w:bCs/>
          <w:color w:val="000000"/>
          <w:spacing w:val="10"/>
          <w:sz w:val="25"/>
          <w:szCs w:val="25"/>
          <w:rtl/>
        </w:rPr>
        <w:t>גרוניס</w:t>
      </w:r>
      <w:proofErr w:type="spellEnd"/>
      <w:r w:rsidRPr="008C7245">
        <w:rPr>
          <w:rFonts w:ascii="FrankRuehl" w:hAnsi="FrankRuehl" w:cs="FrankRuehl"/>
          <w:b/>
          <w:bCs/>
          <w:color w:val="000000"/>
          <w:spacing w:val="10"/>
          <w:sz w:val="25"/>
          <w:szCs w:val="25"/>
          <w:rtl/>
        </w:rPr>
        <w:t>. לשיטת חברי, כל פעולת גבייה מכל סוג שהוא "תאפס" את מרוץ ההתיישנות אם הובאה לידיעת החייב (פסקה 21 לחוות דעתו). ברי, כי כלל זה מנוגד לחוק ההתיישנות אשר קובע כי "תקופת ההתיישנות מתחילה ביום שבו נולדה עילת התובענה" (סעיף 6 לחוק) ומסתיימת עם הגשת תובענה (ראו:</w:t>
      </w:r>
      <w:r w:rsidRPr="008C7245">
        <w:rPr>
          <w:rStyle w:val="apple-converted-space"/>
          <w:rFonts w:ascii="FrankRuehl" w:hAnsi="FrankRuehl" w:cs="FrankRuehl"/>
          <w:b/>
          <w:bCs/>
          <w:color w:val="000000"/>
          <w:spacing w:val="10"/>
          <w:sz w:val="25"/>
          <w:szCs w:val="25"/>
          <w:rtl/>
        </w:rPr>
        <w:t> </w:t>
      </w:r>
      <w:r w:rsidRPr="008C7245">
        <w:rPr>
          <w:rFonts w:ascii="Miriam" w:hAnsi="Miriam" w:cs="Miriam"/>
          <w:b/>
          <w:bCs/>
          <w:color w:val="000000"/>
          <w:sz w:val="25"/>
          <w:szCs w:val="25"/>
          <w:rtl/>
        </w:rPr>
        <w:t>חבקין</w:t>
      </w:r>
      <w:r w:rsidRPr="008C7245">
        <w:rPr>
          <w:rFonts w:ascii="FrankRuehl" w:hAnsi="FrankRuehl" w:cs="FrankRuehl"/>
          <w:b/>
          <w:bCs/>
          <w:color w:val="000000"/>
          <w:spacing w:val="10"/>
          <w:sz w:val="25"/>
          <w:szCs w:val="25"/>
          <w:rtl/>
        </w:rPr>
        <w:t xml:space="preserve">, בעמ' 14-12). החריגים לכך מנויים בחוק ההתיישנות, ונקיטתה של פעולת גבייה אינה נמנית עמם. גם דוגמה זו ממחישה היטב כי ההסדרים בחוק ההתיישנות, אשר מותאמים להתדיינות אזרחית, אינם מביאים בחשבון שיקולים הנוגעים לפעולתן של רשויות </w:t>
      </w:r>
      <w:proofErr w:type="spellStart"/>
      <w:r w:rsidRPr="008C7245">
        <w:rPr>
          <w:rFonts w:ascii="FrankRuehl" w:hAnsi="FrankRuehl" w:cs="FrankRuehl"/>
          <w:b/>
          <w:bCs/>
          <w:color w:val="000000"/>
          <w:spacing w:val="10"/>
          <w:sz w:val="25"/>
          <w:szCs w:val="25"/>
          <w:rtl/>
        </w:rPr>
        <w:t>מינהליות</w:t>
      </w:r>
      <w:proofErr w:type="spellEnd"/>
      <w:r w:rsidRPr="008C7245">
        <w:rPr>
          <w:rFonts w:ascii="FrankRuehl" w:hAnsi="FrankRuehl" w:cs="FrankRuehl"/>
          <w:b/>
          <w:bCs/>
          <w:color w:val="000000"/>
          <w:spacing w:val="10"/>
          <w:sz w:val="25"/>
          <w:szCs w:val="25"/>
          <w:rtl/>
        </w:rPr>
        <w:t xml:space="preserve"> במימוש סמכויותיהן, כמפורט בהמשך חוות דעתי</w:t>
      </w:r>
      <w:r w:rsidRPr="008C7245">
        <w:rPr>
          <w:rFonts w:ascii="FrankRuehl" w:hAnsi="FrankRuehl" w:cs="FrankRuehl" w:hint="cs"/>
          <w:b/>
          <w:bCs/>
          <w:color w:val="000000"/>
          <w:spacing w:val="10"/>
          <w:sz w:val="25"/>
          <w:szCs w:val="25"/>
          <w:rtl/>
        </w:rPr>
        <w:t>"</w:t>
      </w:r>
      <w:r w:rsidRPr="008C7245">
        <w:rPr>
          <w:rFonts w:ascii="FrankRuehl" w:hAnsi="FrankRuehl" w:cs="FrankRuehl"/>
          <w:b/>
          <w:bCs/>
          <w:color w:val="000000"/>
          <w:spacing w:val="10"/>
          <w:sz w:val="25"/>
          <w:szCs w:val="25"/>
          <w:rtl/>
        </w:rPr>
        <w:t>.</w:t>
      </w:r>
    </w:p>
    <w:p w:rsidR="008C7245" w:rsidRDefault="008C7245" w:rsidP="00E76510">
      <w:pPr>
        <w:spacing w:line="360" w:lineRule="auto"/>
        <w:jc w:val="both"/>
        <w:rPr>
          <w:rFonts w:ascii="David" w:hAnsi="David" w:cs="David"/>
          <w:color w:val="000000"/>
          <w:spacing w:val="10"/>
          <w:sz w:val="25"/>
          <w:szCs w:val="25"/>
          <w:rtl/>
        </w:rPr>
      </w:pPr>
    </w:p>
    <w:p w:rsidR="008C7245" w:rsidRDefault="00736914" w:rsidP="00E76510">
      <w:pPr>
        <w:spacing w:line="360" w:lineRule="auto"/>
        <w:jc w:val="both"/>
        <w:rPr>
          <w:rFonts w:ascii="David" w:hAnsi="David" w:cs="David"/>
          <w:color w:val="000000"/>
          <w:spacing w:val="10"/>
          <w:sz w:val="25"/>
          <w:szCs w:val="25"/>
          <w:rtl/>
        </w:rPr>
      </w:pPr>
      <w:r>
        <w:rPr>
          <w:rFonts w:ascii="David" w:hAnsi="David" w:cs="David" w:hint="cs"/>
          <w:color w:val="000000"/>
          <w:spacing w:val="10"/>
          <w:sz w:val="25"/>
          <w:szCs w:val="25"/>
          <w:rtl/>
        </w:rPr>
        <w:t>היעדר תשובה ברורה בפסיקה לסוגיה זו ו</w:t>
      </w:r>
      <w:r w:rsidR="001C7278">
        <w:rPr>
          <w:rFonts w:ascii="David" w:hAnsi="David" w:cs="David" w:hint="cs"/>
          <w:color w:val="000000"/>
          <w:spacing w:val="10"/>
          <w:sz w:val="25"/>
          <w:szCs w:val="25"/>
          <w:rtl/>
        </w:rPr>
        <w:t xml:space="preserve">הדעות הסותרות בפסק </w:t>
      </w:r>
      <w:r w:rsidR="008C7245">
        <w:rPr>
          <w:rFonts w:ascii="David" w:hAnsi="David" w:cs="David" w:hint="cs"/>
          <w:color w:val="000000"/>
          <w:spacing w:val="10"/>
          <w:sz w:val="25"/>
          <w:szCs w:val="25"/>
          <w:rtl/>
        </w:rPr>
        <w:t xml:space="preserve">דין חיפה </w:t>
      </w:r>
      <w:r w:rsidR="001C7278">
        <w:rPr>
          <w:rFonts w:ascii="David" w:hAnsi="David" w:cs="David" w:hint="cs"/>
          <w:color w:val="000000"/>
          <w:spacing w:val="10"/>
          <w:sz w:val="25"/>
          <w:szCs w:val="25"/>
          <w:rtl/>
        </w:rPr>
        <w:t xml:space="preserve">כפי </w:t>
      </w:r>
      <w:r>
        <w:rPr>
          <w:rFonts w:ascii="David" w:hAnsi="David" w:cs="David" w:hint="cs"/>
          <w:color w:val="000000"/>
          <w:spacing w:val="10"/>
          <w:sz w:val="25"/>
          <w:szCs w:val="25"/>
          <w:rtl/>
        </w:rPr>
        <w:t>שניתן לאחרונה</w:t>
      </w:r>
      <w:r w:rsidR="008C7245">
        <w:rPr>
          <w:rFonts w:ascii="David" w:hAnsi="David" w:cs="David" w:hint="cs"/>
          <w:color w:val="000000"/>
          <w:spacing w:val="10"/>
          <w:sz w:val="25"/>
          <w:szCs w:val="25"/>
          <w:rtl/>
        </w:rPr>
        <w:t>, הביאו לתוצאה שאינה רצויה ולפסקי דין סותרים. מחד ניתן לראות פסקי דין שקובעים כי פעולות אכיפה מנהליות קוטעות את מרוץ התיישנות ומאידך כאלה שקובעים הפוך.</w:t>
      </w:r>
    </w:p>
    <w:p w:rsidR="00736914" w:rsidRDefault="00736914" w:rsidP="00D71159">
      <w:pPr>
        <w:spacing w:line="360" w:lineRule="auto"/>
        <w:ind w:left="-58"/>
        <w:jc w:val="both"/>
        <w:rPr>
          <w:rFonts w:ascii="David" w:hAnsi="David" w:cs="David"/>
          <w:color w:val="000000"/>
          <w:spacing w:val="10"/>
          <w:sz w:val="25"/>
          <w:szCs w:val="25"/>
          <w:rtl/>
        </w:rPr>
      </w:pPr>
      <w:r>
        <w:rPr>
          <w:rFonts w:ascii="David" w:hAnsi="David" w:cs="David" w:hint="cs"/>
          <w:color w:val="000000"/>
          <w:spacing w:val="10"/>
          <w:sz w:val="25"/>
          <w:szCs w:val="25"/>
          <w:rtl/>
        </w:rPr>
        <w:t xml:space="preserve">פסקי דין שנצמדו לגישתו של כב' הנשיא בדימוס א' </w:t>
      </w:r>
      <w:proofErr w:type="spellStart"/>
      <w:r>
        <w:rPr>
          <w:rFonts w:ascii="David" w:hAnsi="David" w:cs="David" w:hint="cs"/>
          <w:color w:val="000000"/>
          <w:spacing w:val="10"/>
          <w:sz w:val="25"/>
          <w:szCs w:val="25"/>
          <w:rtl/>
        </w:rPr>
        <w:t>גרוניס</w:t>
      </w:r>
      <w:proofErr w:type="spellEnd"/>
      <w:r>
        <w:rPr>
          <w:rFonts w:ascii="David" w:hAnsi="David" w:cs="David" w:hint="cs"/>
          <w:color w:val="000000"/>
          <w:spacing w:val="10"/>
          <w:sz w:val="25"/>
          <w:szCs w:val="25"/>
          <w:rtl/>
        </w:rPr>
        <w:t xml:space="preserve">, ניתן למצוא למשל ב- </w:t>
      </w:r>
      <w:r w:rsidRPr="00736914">
        <w:rPr>
          <w:rFonts w:ascii="David" w:hAnsi="David" w:cs="David"/>
          <w:color w:val="000000"/>
          <w:sz w:val="25"/>
          <w:szCs w:val="25"/>
          <w:rtl/>
        </w:rPr>
        <w:t xml:space="preserve">בע"א (ת"א) 1986-02-11 </w:t>
      </w:r>
      <w:r w:rsidRPr="00D71159">
        <w:rPr>
          <w:rFonts w:ascii="David" w:hAnsi="David" w:cs="David"/>
          <w:b/>
          <w:bCs/>
          <w:color w:val="000000"/>
          <w:sz w:val="25"/>
          <w:szCs w:val="25"/>
          <w:rtl/>
        </w:rPr>
        <w:t xml:space="preserve">בי </w:t>
      </w:r>
      <w:proofErr w:type="spellStart"/>
      <w:r w:rsidRPr="00D71159">
        <w:rPr>
          <w:rFonts w:ascii="David" w:hAnsi="David" w:cs="David"/>
          <w:b/>
          <w:bCs/>
          <w:color w:val="000000"/>
          <w:sz w:val="25"/>
          <w:szCs w:val="25"/>
          <w:rtl/>
        </w:rPr>
        <w:t>סג</w:t>
      </w:r>
      <w:proofErr w:type="spellEnd"/>
      <w:r w:rsidRPr="00D71159">
        <w:rPr>
          <w:rFonts w:ascii="David" w:hAnsi="David" w:cs="David"/>
          <w:b/>
          <w:bCs/>
          <w:color w:val="000000"/>
          <w:sz w:val="25"/>
          <w:szCs w:val="25"/>
          <w:rtl/>
        </w:rPr>
        <w:t xml:space="preserve"> בע"מ נ' עיריית תל-אביב-יפו</w:t>
      </w:r>
      <w:r w:rsidRPr="00736914">
        <w:rPr>
          <w:rFonts w:ascii="David" w:hAnsi="David" w:cs="David"/>
          <w:color w:val="000000"/>
          <w:sz w:val="25"/>
          <w:szCs w:val="25"/>
          <w:rtl/>
        </w:rPr>
        <w:t xml:space="preserve"> (08.11.12). באותו מקרה אישר בית המשפט המחוזי בתל אביב פסק דין של בית משפט השלום, שבו נדחתה טענת התיישנות נגד תובענה אזרחית, בגין נקיטת הליכ</w:t>
      </w:r>
      <w:r>
        <w:rPr>
          <w:rFonts w:ascii="David" w:hAnsi="David" w:cs="David"/>
          <w:color w:val="000000"/>
          <w:sz w:val="25"/>
          <w:szCs w:val="25"/>
          <w:rtl/>
        </w:rPr>
        <w:t>י גבייה מנהליים. בית המשפט ק</w:t>
      </w:r>
      <w:r>
        <w:rPr>
          <w:rFonts w:ascii="David" w:hAnsi="David" w:cs="David" w:hint="cs"/>
          <w:color w:val="000000"/>
          <w:sz w:val="25"/>
          <w:szCs w:val="25"/>
          <w:rtl/>
        </w:rPr>
        <w:t xml:space="preserve">בע </w:t>
      </w:r>
      <w:r w:rsidRPr="00736914">
        <w:rPr>
          <w:rFonts w:ascii="David" w:hAnsi="David" w:cs="David"/>
          <w:color w:val="000000"/>
          <w:sz w:val="25"/>
          <w:szCs w:val="25"/>
          <w:rtl/>
        </w:rPr>
        <w:t>כי</w:t>
      </w:r>
      <w:r w:rsidRPr="00736914">
        <w:rPr>
          <w:rFonts w:ascii="David" w:hAnsi="David" w:cs="David"/>
          <w:color w:val="000000"/>
          <w:sz w:val="25"/>
          <w:szCs w:val="25"/>
        </w:rPr>
        <w:br/>
      </w:r>
      <w:proofErr w:type="spellStart"/>
      <w:r w:rsidRPr="00736914">
        <w:rPr>
          <w:rFonts w:ascii="David" w:hAnsi="David" w:cs="David"/>
          <w:color w:val="000000"/>
          <w:sz w:val="25"/>
          <w:szCs w:val="25"/>
          <w:rtl/>
        </w:rPr>
        <w:t>הרציונאל</w:t>
      </w:r>
      <w:proofErr w:type="spellEnd"/>
      <w:r w:rsidRPr="00736914">
        <w:rPr>
          <w:rFonts w:ascii="David" w:hAnsi="David" w:cs="David"/>
          <w:color w:val="000000"/>
          <w:sz w:val="25"/>
          <w:szCs w:val="25"/>
          <w:rtl/>
        </w:rPr>
        <w:t xml:space="preserve"> העומד בבסיסו של פס"ד נסייר הינו כי לצורך תחולת דיני ההתיישנות אין </w:t>
      </w:r>
      <w:r>
        <w:rPr>
          <w:rFonts w:ascii="David" w:hAnsi="David" w:cs="David"/>
          <w:color w:val="000000"/>
          <w:sz w:val="25"/>
          <w:szCs w:val="25"/>
          <w:rtl/>
        </w:rPr>
        <w:t>כל מקום להבחין בין הליך גבייה מ</w:t>
      </w:r>
      <w:r w:rsidRPr="00736914">
        <w:rPr>
          <w:rFonts w:ascii="David" w:hAnsi="David" w:cs="David"/>
          <w:color w:val="000000"/>
          <w:sz w:val="25"/>
          <w:szCs w:val="25"/>
          <w:rtl/>
        </w:rPr>
        <w:t>נהלי לבין הליך תביעה או תובענה המוגשים לבית משפט, וזאת לאור הרציונאליים שבסיס מוסד ההתיישנות</w:t>
      </w:r>
      <w:r>
        <w:rPr>
          <w:rFonts w:ascii="David" w:hAnsi="David" w:cs="David" w:hint="cs"/>
          <w:color w:val="000000"/>
          <w:sz w:val="25"/>
          <w:szCs w:val="25"/>
          <w:rtl/>
        </w:rPr>
        <w:t>.</w:t>
      </w:r>
      <w:r w:rsidRPr="00736914">
        <w:rPr>
          <w:rFonts w:ascii="David" w:hAnsi="David" w:cs="David"/>
          <w:color w:val="000000"/>
          <w:sz w:val="25"/>
          <w:szCs w:val="25"/>
          <w:rtl/>
        </w:rPr>
        <w:t xml:space="preserve"> יצוין כי בקשת רשות ערעור שהוגשה </w:t>
      </w:r>
      <w:r w:rsidRPr="00736914">
        <w:rPr>
          <w:rFonts w:ascii="David" w:hAnsi="David" w:cs="David"/>
          <w:color w:val="000000"/>
          <w:sz w:val="25"/>
          <w:szCs w:val="25"/>
        </w:rPr>
        <w:br/>
      </w:r>
      <w:r w:rsidRPr="00736914">
        <w:rPr>
          <w:rFonts w:ascii="David" w:hAnsi="David" w:cs="David"/>
          <w:color w:val="000000"/>
          <w:sz w:val="25"/>
          <w:szCs w:val="25"/>
          <w:rtl/>
        </w:rPr>
        <w:t xml:space="preserve">עמדה דומה, אם כי בלא דיון מפורט, משתקפת במספר פסקי דין אחרים (ראו למשל: ע"א (ת"א) 1662-02-14‏ ‏ </w:t>
      </w:r>
      <w:r w:rsidRPr="00D71159">
        <w:rPr>
          <w:rFonts w:ascii="David" w:hAnsi="David" w:cs="David"/>
          <w:b/>
          <w:bCs/>
          <w:color w:val="000000"/>
          <w:sz w:val="25"/>
          <w:szCs w:val="25"/>
          <w:rtl/>
        </w:rPr>
        <w:t>עיריית תל- אביב נ' בית-און</w:t>
      </w:r>
      <w:r w:rsidRPr="00736914">
        <w:rPr>
          <w:rFonts w:ascii="David" w:hAnsi="David" w:cs="David"/>
          <w:color w:val="000000"/>
          <w:sz w:val="25"/>
          <w:szCs w:val="25"/>
          <w:rtl/>
        </w:rPr>
        <w:t xml:space="preserve">, שם טוב שותפות משרד עורכי דין (30.3.2015); </w:t>
      </w:r>
      <w:proofErr w:type="spellStart"/>
      <w:r w:rsidRPr="00736914">
        <w:rPr>
          <w:rFonts w:ascii="David" w:hAnsi="David" w:cs="David"/>
          <w:color w:val="000000"/>
          <w:sz w:val="25"/>
          <w:szCs w:val="25"/>
          <w:rtl/>
        </w:rPr>
        <w:t>תא"ק</w:t>
      </w:r>
      <w:proofErr w:type="spellEnd"/>
      <w:r w:rsidRPr="00736914">
        <w:rPr>
          <w:rFonts w:ascii="David" w:hAnsi="David" w:cs="David"/>
          <w:color w:val="000000"/>
          <w:sz w:val="25"/>
          <w:szCs w:val="25"/>
          <w:rtl/>
        </w:rPr>
        <w:t xml:space="preserve"> (י-ם) 24703-12-11 </w:t>
      </w:r>
      <w:r w:rsidRPr="00D71159">
        <w:rPr>
          <w:rFonts w:ascii="David" w:hAnsi="David" w:cs="David"/>
          <w:b/>
          <w:bCs/>
          <w:color w:val="000000"/>
          <w:sz w:val="25"/>
          <w:szCs w:val="25"/>
          <w:rtl/>
        </w:rPr>
        <w:t>עירית ירושלים נ' טיבי-</w:t>
      </w:r>
      <w:proofErr w:type="spellStart"/>
      <w:r w:rsidRPr="00D71159">
        <w:rPr>
          <w:rFonts w:ascii="David" w:hAnsi="David" w:cs="David"/>
          <w:b/>
          <w:bCs/>
          <w:color w:val="000000"/>
          <w:sz w:val="25"/>
          <w:szCs w:val="25"/>
          <w:rtl/>
        </w:rPr>
        <w:t>גבארה</w:t>
      </w:r>
      <w:proofErr w:type="spellEnd"/>
      <w:r w:rsidRPr="00D71159">
        <w:rPr>
          <w:rFonts w:ascii="David" w:hAnsi="David" w:cs="David"/>
          <w:b/>
          <w:bCs/>
          <w:color w:val="000000"/>
          <w:sz w:val="25"/>
          <w:szCs w:val="25"/>
          <w:rtl/>
        </w:rPr>
        <w:t xml:space="preserve"> </w:t>
      </w:r>
      <w:r w:rsidRPr="00736914">
        <w:rPr>
          <w:rFonts w:ascii="David" w:hAnsi="David" w:cs="David"/>
          <w:color w:val="000000"/>
          <w:sz w:val="25"/>
          <w:szCs w:val="25"/>
          <w:rtl/>
        </w:rPr>
        <w:t xml:space="preserve">(01.02.2015) ; </w:t>
      </w:r>
      <w:proofErr w:type="spellStart"/>
      <w:r w:rsidRPr="00736914">
        <w:rPr>
          <w:rFonts w:ascii="David" w:hAnsi="David" w:cs="David"/>
          <w:color w:val="000000"/>
          <w:sz w:val="25"/>
          <w:szCs w:val="25"/>
          <w:rtl/>
        </w:rPr>
        <w:t>תא"ק</w:t>
      </w:r>
      <w:proofErr w:type="spellEnd"/>
      <w:r w:rsidRPr="00736914">
        <w:rPr>
          <w:rFonts w:ascii="David" w:hAnsi="David" w:cs="David"/>
          <w:color w:val="000000"/>
          <w:sz w:val="25"/>
          <w:szCs w:val="25"/>
          <w:rtl/>
        </w:rPr>
        <w:t xml:space="preserve"> (</w:t>
      </w:r>
      <w:proofErr w:type="spellStart"/>
      <w:r w:rsidRPr="00736914">
        <w:rPr>
          <w:rFonts w:ascii="David" w:hAnsi="David" w:cs="David"/>
          <w:color w:val="000000"/>
          <w:sz w:val="25"/>
          <w:szCs w:val="25"/>
          <w:rtl/>
        </w:rPr>
        <w:t>עפ</w:t>
      </w:r>
      <w:proofErr w:type="spellEnd"/>
      <w:r w:rsidRPr="00736914">
        <w:rPr>
          <w:rFonts w:ascii="David" w:hAnsi="David" w:cs="David"/>
          <w:color w:val="000000"/>
          <w:sz w:val="25"/>
          <w:szCs w:val="25"/>
          <w:rtl/>
        </w:rPr>
        <w:t xml:space="preserve">') 839-09-09 </w:t>
      </w:r>
      <w:r w:rsidRPr="00D71159">
        <w:rPr>
          <w:rFonts w:ascii="David" w:hAnsi="David" w:cs="David"/>
          <w:b/>
          <w:bCs/>
          <w:color w:val="000000"/>
          <w:sz w:val="25"/>
          <w:szCs w:val="25"/>
          <w:rtl/>
        </w:rPr>
        <w:t>עיריית צפת נ' אוחיון</w:t>
      </w:r>
      <w:r w:rsidRPr="00736914">
        <w:rPr>
          <w:rFonts w:ascii="David" w:hAnsi="David" w:cs="David"/>
          <w:color w:val="000000"/>
          <w:sz w:val="25"/>
          <w:szCs w:val="25"/>
          <w:rtl/>
        </w:rPr>
        <w:t xml:space="preserve"> (16.08.2014); ת"א (ת"א) 21466-06-12 </w:t>
      </w:r>
      <w:r w:rsidRPr="00D71159">
        <w:rPr>
          <w:rFonts w:ascii="David" w:hAnsi="David" w:cs="David"/>
          <w:b/>
          <w:bCs/>
          <w:color w:val="000000"/>
          <w:sz w:val="25"/>
          <w:szCs w:val="25"/>
          <w:rtl/>
        </w:rPr>
        <w:t>עיריית תל-אביב נ' מיכל - בר מסעדה בע"מ</w:t>
      </w:r>
      <w:r w:rsidRPr="00736914">
        <w:rPr>
          <w:rFonts w:ascii="David" w:hAnsi="David" w:cs="David"/>
          <w:color w:val="000000"/>
          <w:sz w:val="25"/>
          <w:szCs w:val="25"/>
          <w:rtl/>
        </w:rPr>
        <w:t xml:space="preserve"> (08.08.2014); ת"א (ת"א) 44227-10-11 </w:t>
      </w:r>
      <w:r w:rsidRPr="00D71159">
        <w:rPr>
          <w:rFonts w:ascii="David" w:hAnsi="David" w:cs="David"/>
          <w:b/>
          <w:bCs/>
          <w:color w:val="000000"/>
          <w:sz w:val="25"/>
          <w:szCs w:val="25"/>
          <w:rtl/>
        </w:rPr>
        <w:t>עיריית חולון נ' עטיה</w:t>
      </w:r>
      <w:r w:rsidRPr="00736914">
        <w:rPr>
          <w:rFonts w:ascii="David" w:hAnsi="David" w:cs="David"/>
          <w:color w:val="000000"/>
          <w:sz w:val="25"/>
          <w:szCs w:val="25"/>
          <w:rtl/>
        </w:rPr>
        <w:t xml:space="preserve"> (04.02.2014); </w:t>
      </w:r>
      <w:proofErr w:type="spellStart"/>
      <w:r w:rsidRPr="00736914">
        <w:rPr>
          <w:rFonts w:ascii="David" w:hAnsi="David" w:cs="David"/>
          <w:color w:val="000000"/>
          <w:sz w:val="25"/>
          <w:szCs w:val="25"/>
          <w:rtl/>
        </w:rPr>
        <w:t>תא"מ</w:t>
      </w:r>
      <w:proofErr w:type="spellEnd"/>
      <w:r w:rsidRPr="00736914">
        <w:rPr>
          <w:rFonts w:ascii="David" w:hAnsi="David" w:cs="David"/>
          <w:color w:val="000000"/>
          <w:sz w:val="25"/>
          <w:szCs w:val="25"/>
          <w:rtl/>
        </w:rPr>
        <w:t xml:space="preserve"> (י-ם) 21490-02-12 </w:t>
      </w:r>
      <w:r w:rsidRPr="00D71159">
        <w:rPr>
          <w:rFonts w:ascii="David" w:hAnsi="David" w:cs="David"/>
          <w:b/>
          <w:bCs/>
          <w:color w:val="000000"/>
          <w:sz w:val="25"/>
          <w:szCs w:val="25"/>
          <w:rtl/>
        </w:rPr>
        <w:t xml:space="preserve">עירית ירושלים נ' </w:t>
      </w:r>
      <w:proofErr w:type="spellStart"/>
      <w:r w:rsidRPr="00D71159">
        <w:rPr>
          <w:rFonts w:ascii="David" w:hAnsi="David" w:cs="David"/>
          <w:b/>
          <w:bCs/>
          <w:color w:val="000000"/>
          <w:sz w:val="25"/>
          <w:szCs w:val="25"/>
          <w:rtl/>
        </w:rPr>
        <w:t>נתשה</w:t>
      </w:r>
      <w:proofErr w:type="spellEnd"/>
      <w:r w:rsidRPr="00736914">
        <w:rPr>
          <w:rFonts w:ascii="David" w:hAnsi="David" w:cs="David"/>
          <w:color w:val="000000"/>
          <w:sz w:val="25"/>
          <w:szCs w:val="25"/>
          <w:rtl/>
        </w:rPr>
        <w:t xml:space="preserve"> (02.01.2014); </w:t>
      </w:r>
      <w:proofErr w:type="spellStart"/>
      <w:r w:rsidRPr="00736914">
        <w:rPr>
          <w:rFonts w:ascii="David" w:hAnsi="David" w:cs="David"/>
          <w:color w:val="000000"/>
          <w:sz w:val="25"/>
          <w:szCs w:val="25"/>
          <w:rtl/>
        </w:rPr>
        <w:t>תא"ק</w:t>
      </w:r>
      <w:proofErr w:type="spellEnd"/>
      <w:r w:rsidRPr="00736914">
        <w:rPr>
          <w:rFonts w:ascii="David" w:hAnsi="David" w:cs="David"/>
          <w:color w:val="000000"/>
          <w:sz w:val="25"/>
          <w:szCs w:val="25"/>
          <w:rtl/>
        </w:rPr>
        <w:t xml:space="preserve"> (ת"א) 32934-09-11‏‏ </w:t>
      </w:r>
      <w:r w:rsidRPr="00D71159">
        <w:rPr>
          <w:rFonts w:ascii="David" w:hAnsi="David" w:cs="David"/>
          <w:b/>
          <w:bCs/>
          <w:color w:val="000000"/>
          <w:sz w:val="25"/>
          <w:szCs w:val="25"/>
          <w:rtl/>
        </w:rPr>
        <w:t>ענבר נ' עירית תל-אביב-יפו</w:t>
      </w:r>
      <w:r w:rsidRPr="00736914">
        <w:rPr>
          <w:rFonts w:ascii="David" w:hAnsi="David" w:cs="David"/>
          <w:color w:val="000000"/>
          <w:sz w:val="25"/>
          <w:szCs w:val="25"/>
        </w:rPr>
        <w:t xml:space="preserve"> </w:t>
      </w:r>
      <w:r w:rsidR="00D71159">
        <w:rPr>
          <w:rFonts w:ascii="David" w:hAnsi="David" w:cs="David"/>
          <w:color w:val="000000"/>
          <w:sz w:val="25"/>
          <w:szCs w:val="25"/>
        </w:rPr>
        <w:t>.</w:t>
      </w:r>
      <w:r w:rsidRPr="00736914">
        <w:rPr>
          <w:rFonts w:ascii="David" w:hAnsi="David" w:cs="David"/>
          <w:color w:val="000000"/>
          <w:sz w:val="25"/>
          <w:szCs w:val="25"/>
        </w:rPr>
        <w:t>(27.5.2012)</w:t>
      </w:r>
      <w:r w:rsidR="00D71159">
        <w:rPr>
          <w:rFonts w:ascii="David" w:hAnsi="David" w:cs="David" w:hint="cs"/>
          <w:color w:val="000000"/>
          <w:sz w:val="25"/>
          <w:szCs w:val="25"/>
          <w:rtl/>
        </w:rPr>
        <w:t xml:space="preserve"> </w:t>
      </w:r>
      <w:r w:rsidR="008C7245" w:rsidRPr="00736914">
        <w:rPr>
          <w:rFonts w:ascii="David" w:hAnsi="David" w:cs="David"/>
          <w:color w:val="000000"/>
          <w:spacing w:val="10"/>
          <w:sz w:val="25"/>
          <w:szCs w:val="25"/>
          <w:rtl/>
        </w:rPr>
        <w:t xml:space="preserve"> </w:t>
      </w:r>
    </w:p>
    <w:p w:rsidR="00E76510" w:rsidRDefault="00736914" w:rsidP="00D71159">
      <w:pPr>
        <w:spacing w:line="360" w:lineRule="auto"/>
        <w:ind w:left="-58"/>
        <w:jc w:val="both"/>
        <w:rPr>
          <w:rFonts w:ascii="David" w:hAnsi="David" w:cs="David"/>
          <w:color w:val="000000"/>
          <w:spacing w:val="10"/>
          <w:sz w:val="25"/>
          <w:szCs w:val="25"/>
          <w:rtl/>
        </w:rPr>
      </w:pPr>
      <w:r>
        <w:rPr>
          <w:rFonts w:ascii="David" w:hAnsi="David" w:cs="David" w:hint="cs"/>
          <w:color w:val="000000"/>
          <w:spacing w:val="10"/>
          <w:sz w:val="25"/>
          <w:szCs w:val="25"/>
          <w:rtl/>
        </w:rPr>
        <w:t xml:space="preserve">פסקי דין שניתנו לאחרונה ונצמדו לגישת כב' השופטת </w:t>
      </w:r>
      <w:r w:rsidRPr="008C7245">
        <w:rPr>
          <w:rFonts w:ascii="David" w:hAnsi="David" w:cs="David"/>
          <w:color w:val="000000"/>
          <w:spacing w:val="10"/>
          <w:sz w:val="25"/>
          <w:szCs w:val="25"/>
          <w:rtl/>
        </w:rPr>
        <w:t>ד' ברק-ארז</w:t>
      </w:r>
      <w:r>
        <w:rPr>
          <w:rFonts w:ascii="David" w:hAnsi="David" w:cs="David"/>
          <w:color w:val="000000"/>
          <w:spacing w:val="10"/>
          <w:sz w:val="25"/>
          <w:szCs w:val="25"/>
        </w:rPr>
        <w:t xml:space="preserve"> </w:t>
      </w:r>
      <w:r w:rsidR="00E76510">
        <w:rPr>
          <w:rFonts w:ascii="David" w:hAnsi="David" w:cs="David" w:hint="cs"/>
          <w:color w:val="000000"/>
          <w:spacing w:val="10"/>
          <w:sz w:val="25"/>
          <w:szCs w:val="25"/>
          <w:rtl/>
        </w:rPr>
        <w:t xml:space="preserve">בפסק דין חיפה ניתן למצוא למשל בפסק דינו של כב' השופט אליעזר נחלון </w:t>
      </w:r>
      <w:proofErr w:type="spellStart"/>
      <w:r w:rsidR="00E76510">
        <w:rPr>
          <w:rFonts w:ascii="David" w:hAnsi="David" w:cs="David" w:hint="cs"/>
          <w:color w:val="000000"/>
          <w:spacing w:val="10"/>
          <w:sz w:val="25"/>
          <w:szCs w:val="25"/>
          <w:rtl/>
        </w:rPr>
        <w:t>בתא"ק</w:t>
      </w:r>
      <w:proofErr w:type="spellEnd"/>
      <w:r w:rsidR="00E76510">
        <w:rPr>
          <w:rFonts w:ascii="David" w:hAnsi="David" w:cs="David" w:hint="cs"/>
          <w:color w:val="000000"/>
          <w:spacing w:val="10"/>
          <w:sz w:val="25"/>
          <w:szCs w:val="25"/>
          <w:rtl/>
        </w:rPr>
        <w:t xml:space="preserve">  20237-01-15, </w:t>
      </w:r>
      <w:r w:rsidR="00E76510" w:rsidRPr="00E76510">
        <w:rPr>
          <w:rFonts w:ascii="David" w:hAnsi="David" w:cs="David" w:hint="cs"/>
          <w:b/>
          <w:bCs/>
          <w:color w:val="000000"/>
          <w:spacing w:val="10"/>
          <w:sz w:val="25"/>
          <w:szCs w:val="25"/>
          <w:rtl/>
        </w:rPr>
        <w:t>עיריית ירושלים נ' פרידמן</w:t>
      </w:r>
      <w:r w:rsidR="00E76510">
        <w:rPr>
          <w:rFonts w:ascii="David" w:hAnsi="David" w:cs="David" w:hint="cs"/>
          <w:color w:val="000000"/>
          <w:spacing w:val="10"/>
          <w:sz w:val="25"/>
          <w:szCs w:val="25"/>
          <w:rtl/>
        </w:rPr>
        <w:t>, שקבע כי הליכי גבייה מנהליים אינם משפיעים על מרוץ ההתיישנות לצורך הגשת תביעה בבית המשפט.</w:t>
      </w:r>
    </w:p>
    <w:p w:rsidR="00A947BA" w:rsidRPr="00D71159" w:rsidRDefault="00E76510" w:rsidP="00D71159">
      <w:pPr>
        <w:spacing w:line="360" w:lineRule="auto"/>
        <w:ind w:left="-58"/>
        <w:jc w:val="both"/>
        <w:rPr>
          <w:rFonts w:ascii="David" w:hAnsi="David" w:cs="David"/>
          <w:color w:val="000000"/>
          <w:spacing w:val="10"/>
          <w:sz w:val="25"/>
          <w:szCs w:val="25"/>
        </w:rPr>
      </w:pPr>
      <w:r>
        <w:rPr>
          <w:rFonts w:ascii="David" w:hAnsi="David" w:cs="David" w:hint="cs"/>
          <w:color w:val="000000"/>
          <w:spacing w:val="10"/>
          <w:sz w:val="25"/>
          <w:szCs w:val="25"/>
          <w:rtl/>
        </w:rPr>
        <w:t>מכל האמור</w:t>
      </w:r>
      <w:r w:rsidR="00D71159">
        <w:rPr>
          <w:rFonts w:ascii="David" w:hAnsi="David" w:cs="David" w:hint="cs"/>
          <w:color w:val="000000"/>
          <w:spacing w:val="10"/>
          <w:sz w:val="25"/>
          <w:szCs w:val="25"/>
          <w:rtl/>
        </w:rPr>
        <w:t xml:space="preserve"> לעיל</w:t>
      </w:r>
      <w:r>
        <w:rPr>
          <w:rFonts w:ascii="David" w:hAnsi="David" w:cs="David" w:hint="cs"/>
          <w:color w:val="000000"/>
          <w:spacing w:val="10"/>
          <w:sz w:val="25"/>
          <w:szCs w:val="25"/>
          <w:rtl/>
        </w:rPr>
        <w:t xml:space="preserve"> יוצא אפוא, כי </w:t>
      </w:r>
      <w:r w:rsidR="00D71159">
        <w:rPr>
          <w:rFonts w:ascii="David" w:hAnsi="David" w:cs="David" w:hint="cs"/>
          <w:color w:val="000000"/>
          <w:spacing w:val="10"/>
          <w:sz w:val="25"/>
          <w:szCs w:val="25"/>
          <w:rtl/>
        </w:rPr>
        <w:t xml:space="preserve">בשלב זה אין הלכה חד משמעית שנותנת תשובה לשאלה ולכן </w:t>
      </w:r>
      <w:r>
        <w:rPr>
          <w:rFonts w:ascii="David" w:hAnsi="David" w:cs="David" w:hint="cs"/>
          <w:color w:val="000000"/>
          <w:spacing w:val="10"/>
          <w:sz w:val="25"/>
          <w:szCs w:val="25"/>
          <w:rtl/>
        </w:rPr>
        <w:t>ההחלטה בתיק ספציפי נתונה ל</w:t>
      </w:r>
      <w:r w:rsidR="00D71159">
        <w:rPr>
          <w:rFonts w:ascii="David" w:hAnsi="David" w:cs="David" w:hint="cs"/>
          <w:color w:val="000000"/>
          <w:spacing w:val="10"/>
          <w:sz w:val="25"/>
          <w:szCs w:val="25"/>
          <w:rtl/>
        </w:rPr>
        <w:t xml:space="preserve">עמדתו האישית של </w:t>
      </w:r>
      <w:r>
        <w:rPr>
          <w:rFonts w:ascii="David" w:hAnsi="David" w:cs="David" w:hint="cs"/>
          <w:color w:val="000000"/>
          <w:spacing w:val="10"/>
          <w:sz w:val="25"/>
          <w:szCs w:val="25"/>
          <w:rtl/>
        </w:rPr>
        <w:t>שופט היושב בדין</w:t>
      </w:r>
      <w:r w:rsidR="00D71159">
        <w:rPr>
          <w:rFonts w:ascii="David" w:hAnsi="David" w:cs="David" w:hint="cs"/>
          <w:color w:val="000000"/>
          <w:spacing w:val="10"/>
          <w:sz w:val="25"/>
          <w:szCs w:val="25"/>
          <w:rtl/>
        </w:rPr>
        <w:t xml:space="preserve">, שיכולה מחד להתיישב עם דעת הנשיא בדימוס </w:t>
      </w:r>
      <w:proofErr w:type="spellStart"/>
      <w:r w:rsidR="00D71159">
        <w:rPr>
          <w:rFonts w:ascii="David" w:hAnsi="David" w:cs="David" w:hint="cs"/>
          <w:color w:val="000000"/>
          <w:spacing w:val="10"/>
          <w:sz w:val="25"/>
          <w:szCs w:val="25"/>
          <w:rtl/>
        </w:rPr>
        <w:t>גרוניס</w:t>
      </w:r>
      <w:proofErr w:type="spellEnd"/>
      <w:r w:rsidR="00D71159">
        <w:rPr>
          <w:rFonts w:ascii="David" w:hAnsi="David" w:cs="David" w:hint="cs"/>
          <w:color w:val="000000"/>
          <w:spacing w:val="10"/>
          <w:sz w:val="25"/>
          <w:szCs w:val="25"/>
          <w:rtl/>
        </w:rPr>
        <w:t xml:space="preserve"> או באופן הפוך לחלוטין לדבוק בעמדתה של כב' השופטת </w:t>
      </w:r>
      <w:r w:rsidR="00D71159" w:rsidRPr="008C7245">
        <w:rPr>
          <w:rFonts w:ascii="David" w:hAnsi="David" w:cs="David"/>
          <w:color w:val="000000"/>
          <w:spacing w:val="10"/>
          <w:sz w:val="25"/>
          <w:szCs w:val="25"/>
          <w:rtl/>
        </w:rPr>
        <w:t>ד' ברק-ארז</w:t>
      </w:r>
      <w:r w:rsidR="00D71159">
        <w:rPr>
          <w:rFonts w:ascii="David" w:hAnsi="David" w:cs="David" w:hint="cs"/>
          <w:color w:val="000000"/>
          <w:spacing w:val="10"/>
          <w:sz w:val="25"/>
          <w:szCs w:val="25"/>
          <w:rtl/>
        </w:rPr>
        <w:t xml:space="preserve">. </w:t>
      </w:r>
    </w:p>
    <w:sectPr w:rsidR="00A947BA" w:rsidRPr="00D71159" w:rsidSect="003C1C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727DA"/>
    <w:multiLevelType w:val="multilevel"/>
    <w:tmpl w:val="127A2086"/>
    <w:lvl w:ilvl="0">
      <w:start w:val="1"/>
      <w:numFmt w:val="bullet"/>
      <w:lvlText w:val=""/>
      <w:lvlJc w:val="left"/>
      <w:pPr>
        <w:tabs>
          <w:tab w:val="num" w:pos="5180"/>
        </w:tabs>
        <w:ind w:left="5180" w:hanging="360"/>
      </w:pPr>
      <w:rPr>
        <w:rFonts w:ascii="Symbol" w:hAnsi="Symbol" w:hint="default"/>
        <w:sz w:val="20"/>
      </w:rPr>
    </w:lvl>
    <w:lvl w:ilvl="1" w:tentative="1">
      <w:start w:val="1"/>
      <w:numFmt w:val="bullet"/>
      <w:lvlText w:val="o"/>
      <w:lvlJc w:val="left"/>
      <w:pPr>
        <w:tabs>
          <w:tab w:val="num" w:pos="5900"/>
        </w:tabs>
        <w:ind w:left="5900" w:hanging="360"/>
      </w:pPr>
      <w:rPr>
        <w:rFonts w:ascii="Courier New" w:hAnsi="Courier New" w:hint="default"/>
        <w:sz w:val="20"/>
      </w:rPr>
    </w:lvl>
    <w:lvl w:ilvl="2" w:tentative="1">
      <w:start w:val="1"/>
      <w:numFmt w:val="bullet"/>
      <w:lvlText w:val=""/>
      <w:lvlJc w:val="left"/>
      <w:pPr>
        <w:tabs>
          <w:tab w:val="num" w:pos="6620"/>
        </w:tabs>
        <w:ind w:left="6620" w:hanging="360"/>
      </w:pPr>
      <w:rPr>
        <w:rFonts w:ascii="Wingdings" w:hAnsi="Wingdings" w:hint="default"/>
        <w:sz w:val="20"/>
      </w:rPr>
    </w:lvl>
    <w:lvl w:ilvl="3" w:tentative="1">
      <w:start w:val="1"/>
      <w:numFmt w:val="bullet"/>
      <w:lvlText w:val=""/>
      <w:lvlJc w:val="left"/>
      <w:pPr>
        <w:tabs>
          <w:tab w:val="num" w:pos="7340"/>
        </w:tabs>
        <w:ind w:left="7340" w:hanging="360"/>
      </w:pPr>
      <w:rPr>
        <w:rFonts w:ascii="Wingdings" w:hAnsi="Wingdings" w:hint="default"/>
        <w:sz w:val="20"/>
      </w:rPr>
    </w:lvl>
    <w:lvl w:ilvl="4" w:tentative="1">
      <w:start w:val="1"/>
      <w:numFmt w:val="bullet"/>
      <w:lvlText w:val=""/>
      <w:lvlJc w:val="left"/>
      <w:pPr>
        <w:tabs>
          <w:tab w:val="num" w:pos="8060"/>
        </w:tabs>
        <w:ind w:left="8060" w:hanging="360"/>
      </w:pPr>
      <w:rPr>
        <w:rFonts w:ascii="Wingdings" w:hAnsi="Wingdings" w:hint="default"/>
        <w:sz w:val="20"/>
      </w:rPr>
    </w:lvl>
    <w:lvl w:ilvl="5" w:tentative="1">
      <w:start w:val="1"/>
      <w:numFmt w:val="bullet"/>
      <w:lvlText w:val=""/>
      <w:lvlJc w:val="left"/>
      <w:pPr>
        <w:tabs>
          <w:tab w:val="num" w:pos="8780"/>
        </w:tabs>
        <w:ind w:left="8780" w:hanging="360"/>
      </w:pPr>
      <w:rPr>
        <w:rFonts w:ascii="Wingdings" w:hAnsi="Wingdings" w:hint="default"/>
        <w:sz w:val="20"/>
      </w:rPr>
    </w:lvl>
    <w:lvl w:ilvl="6" w:tentative="1">
      <w:start w:val="1"/>
      <w:numFmt w:val="bullet"/>
      <w:lvlText w:val=""/>
      <w:lvlJc w:val="left"/>
      <w:pPr>
        <w:tabs>
          <w:tab w:val="num" w:pos="9500"/>
        </w:tabs>
        <w:ind w:left="9500" w:hanging="360"/>
      </w:pPr>
      <w:rPr>
        <w:rFonts w:ascii="Wingdings" w:hAnsi="Wingdings" w:hint="default"/>
        <w:sz w:val="20"/>
      </w:rPr>
    </w:lvl>
    <w:lvl w:ilvl="7" w:tentative="1">
      <w:start w:val="1"/>
      <w:numFmt w:val="bullet"/>
      <w:lvlText w:val=""/>
      <w:lvlJc w:val="left"/>
      <w:pPr>
        <w:tabs>
          <w:tab w:val="num" w:pos="10220"/>
        </w:tabs>
        <w:ind w:left="10220" w:hanging="360"/>
      </w:pPr>
      <w:rPr>
        <w:rFonts w:ascii="Wingdings" w:hAnsi="Wingdings" w:hint="default"/>
        <w:sz w:val="20"/>
      </w:rPr>
    </w:lvl>
    <w:lvl w:ilvl="8" w:tentative="1">
      <w:start w:val="1"/>
      <w:numFmt w:val="bullet"/>
      <w:lvlText w:val=""/>
      <w:lvlJc w:val="left"/>
      <w:pPr>
        <w:tabs>
          <w:tab w:val="num" w:pos="10940"/>
        </w:tabs>
        <w:ind w:left="109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BA"/>
    <w:rsid w:val="00192E1E"/>
    <w:rsid w:val="001C7278"/>
    <w:rsid w:val="003C1C0F"/>
    <w:rsid w:val="003D4503"/>
    <w:rsid w:val="00736914"/>
    <w:rsid w:val="008C7245"/>
    <w:rsid w:val="00A947BA"/>
    <w:rsid w:val="00C15748"/>
    <w:rsid w:val="00D71159"/>
    <w:rsid w:val="00E765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947BA"/>
    <w:rPr>
      <w:color w:val="0000FF"/>
      <w:u w:val="single"/>
    </w:rPr>
  </w:style>
  <w:style w:type="character" w:customStyle="1" w:styleId="apple-converted-space">
    <w:name w:val="apple-converted-space"/>
    <w:basedOn w:val="a0"/>
    <w:rsid w:val="00A947BA"/>
  </w:style>
  <w:style w:type="paragraph" w:customStyle="1" w:styleId="ruller4">
    <w:name w:val="ruller4"/>
    <w:basedOn w:val="a"/>
    <w:rsid w:val="008C72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947BA"/>
    <w:rPr>
      <w:color w:val="0000FF"/>
      <w:u w:val="single"/>
    </w:rPr>
  </w:style>
  <w:style w:type="character" w:customStyle="1" w:styleId="apple-converted-space">
    <w:name w:val="apple-converted-space"/>
    <w:basedOn w:val="a0"/>
    <w:rsid w:val="00A947BA"/>
  </w:style>
  <w:style w:type="paragraph" w:customStyle="1" w:styleId="ruller4">
    <w:name w:val="ruller4"/>
    <w:basedOn w:val="a"/>
    <w:rsid w:val="008C72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1400">
      <w:bodyDiv w:val="1"/>
      <w:marLeft w:val="0"/>
      <w:marRight w:val="0"/>
      <w:marTop w:val="0"/>
      <w:marBottom w:val="0"/>
      <w:divBdr>
        <w:top w:val="none" w:sz="0" w:space="0" w:color="auto"/>
        <w:left w:val="none" w:sz="0" w:space="0" w:color="auto"/>
        <w:bottom w:val="none" w:sz="0" w:space="0" w:color="auto"/>
        <w:right w:val="none" w:sz="0" w:space="0" w:color="auto"/>
      </w:divBdr>
    </w:div>
    <w:div w:id="21351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729</Words>
  <Characters>3646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dc:creator>
  <cp:keywords/>
  <dc:description/>
  <cp:lastModifiedBy>shay</cp:lastModifiedBy>
  <cp:revision>2</cp:revision>
  <dcterms:created xsi:type="dcterms:W3CDTF">2016-04-24T11:52:00Z</dcterms:created>
  <dcterms:modified xsi:type="dcterms:W3CDTF">2016-04-24T12:52:00Z</dcterms:modified>
</cp:coreProperties>
</file>